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75" w:wrap="around" w:vAnchor="text" w:hAnchor="margin" w:x="3875" w:y="3703"/>
        <w:widowControl w:val="0"/>
        <w:keepNext w:val="0"/>
        <w:keepLines w:val="0"/>
        <w:shd w:val="clear" w:color="auto" w:fill="auto"/>
        <w:bidi w:val="0"/>
        <w:jc w:val="left"/>
        <w:spacing w:before="0" w:after="0" w:line="280" w:lineRule="exact"/>
        <w:ind w:left="0" w:right="0" w:firstLine="0"/>
      </w:pPr>
      <w:r>
        <w:rPr>
          <w:lang w:val="ru-RU" w:eastAsia="ru-RU" w:bidi="ru-RU"/>
          <w:w w:val="100"/>
          <w:spacing w:val="0"/>
          <w:color w:val="000000"/>
          <w:position w:val="0"/>
        </w:rPr>
        <w:t>$</w:t>
      </w:r>
    </w:p>
    <w:p>
      <w:pPr>
        <w:pStyle w:val="Style5"/>
        <w:framePr w:h="166" w:wrap="around" w:vAnchor="text" w:hAnchor="margin" w:x="-287" w:y="4196"/>
        <w:widowControl w:val="0"/>
        <w:keepNext w:val="0"/>
        <w:keepLines w:val="0"/>
        <w:shd w:val="clear" w:color="auto" w:fill="auto"/>
        <w:bidi w:val="0"/>
        <w:jc w:val="left"/>
        <w:spacing w:before="0" w:after="0" w:line="160" w:lineRule="exact"/>
        <w:ind w:left="0" w:right="0" w:firstLine="0"/>
      </w:pPr>
      <w:r>
        <w:rPr>
          <w:rStyle w:val="CharStyle6"/>
          <w:b/>
          <w:bCs/>
          <w:spacing w:val="0"/>
        </w:rPr>
        <w:t>на №</w:t>
      </w:r>
    </w:p>
    <w:p>
      <w:pPr>
        <w:widowControl w:val="0"/>
        <w:rPr>
          <w:sz w:val="2"/>
          <w:szCs w:val="2"/>
        </w:rPr>
      </w:pPr>
    </w:p>
    <w:p>
      <w:pPr>
        <w:pStyle w:val="Style5"/>
        <w:widowControl w:val="0"/>
        <w:keepNext w:val="0"/>
        <w:keepLines w:val="0"/>
        <w:shd w:val="clear" w:color="auto" w:fill="auto"/>
        <w:bidi w:val="0"/>
        <w:spacing w:before="322" w:after="465"/>
        <w:ind w:left="20" w:right="0" w:firstLine="0"/>
      </w:pPr>
      <w:r>
        <w:rPr>
          <w:lang w:val="ru-RU" w:eastAsia="ru-RU" w:bidi="ru-RU"/>
          <w:w w:val="100"/>
          <w:spacing w:val="0"/>
          <w:color w:val="000000"/>
          <w:position w:val="0"/>
        </w:rPr>
        <w:t>ФЕДЕРАЛЬНАЯ АНТИМОНОПОЛЬНАЯ СЛУЖБА</w:t>
      </w:r>
    </w:p>
    <w:p>
      <w:pPr>
        <w:pStyle w:val="Style8"/>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УПРАВЛЕНИЕ</w:t>
      </w:r>
    </w:p>
    <w:p>
      <w:pPr>
        <w:pStyle w:val="Style5"/>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Федеральной антимонопольной службы но Смоленской области</w:t>
      </w:r>
    </w:p>
    <w:p>
      <w:pPr>
        <w:pStyle w:val="Style10"/>
        <w:widowControl w:val="0"/>
        <w:keepNext w:val="0"/>
        <w:keepLines w:val="0"/>
        <w:shd w:val="clear" w:color="auto" w:fill="auto"/>
        <w:bidi w:val="0"/>
        <w:spacing w:before="0" w:after="126"/>
        <w:ind w:left="2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2"/>
        <w:widowControl w:val="0"/>
        <w:keepNext/>
        <w:keepLines/>
        <w:shd w:val="clear" w:color="auto" w:fill="auto"/>
        <w:bidi w:val="0"/>
        <w:jc w:val="left"/>
        <w:spacing w:before="0" w:after="259" w:line="240" w:lineRule="exact"/>
        <w:ind w:left="120" w:right="0" w:firstLine="0"/>
      </w:pPr>
      <w:bookmarkStart w:id="0" w:name="bookmark0"/>
      <w:r>
        <w:rPr>
          <w:rStyle w:val="CharStyle14"/>
          <w:i w:val="0"/>
          <w:iCs w:val="0"/>
        </w:rPr>
        <w:t xml:space="preserve">/4?. </w:t>
      </w:r>
      <w:r>
        <w:rPr>
          <w:rStyle w:val="CharStyle15"/>
          <w:i w:val="0"/>
          <w:iCs w:val="0"/>
        </w:rPr>
        <w:t xml:space="preserve">// </w:t>
      </w:r>
      <w:r>
        <w:rPr>
          <w:rStyle w:val="CharStyle16"/>
          <w:i/>
          <w:iCs/>
        </w:rPr>
        <w:t>&lt;90/?</w:t>
      </w:r>
      <w:r>
        <w:rPr>
          <w:lang w:val="ru-RU" w:eastAsia="ru-RU" w:bidi="ru-RU"/>
          <w:sz w:val="24"/>
          <w:szCs w:val="24"/>
          <w:w w:val="100"/>
          <w:spacing w:val="0"/>
          <w:color w:val="000000"/>
          <w:position w:val="0"/>
        </w:rPr>
        <w:t xml:space="preserve"> т </w:t>
      </w:r>
      <w:r>
        <w:rPr>
          <w:rStyle w:val="CharStyle16"/>
          <w:i/>
          <w:iCs/>
        </w:rPr>
        <w:t>ЗШ/О</w:t>
      </w:r>
      <w:bookmarkEnd w:id="0"/>
    </w:p>
    <w:p>
      <w:pPr>
        <w:pStyle w:val="Style5"/>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17"/>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Администрации Промышленного района</w:t>
      </w:r>
    </w:p>
    <w:p>
      <w:pPr>
        <w:pStyle w:val="Style5"/>
        <w:widowControl w:val="0"/>
        <w:keepNext w:val="0"/>
        <w:keepLines w:val="0"/>
        <w:shd w:val="clear" w:color="auto" w:fill="auto"/>
        <w:bidi w:val="0"/>
        <w:jc w:val="left"/>
        <w:spacing w:before="0" w:after="236" w:line="235" w:lineRule="exact"/>
        <w:ind w:left="20" w:right="460" w:firstLine="0"/>
      </w:pPr>
      <w:r>
        <w:rPr>
          <w:rStyle w:val="CharStyle19"/>
          <w:b w:val="0"/>
          <w:bCs w:val="0"/>
        </w:rPr>
        <w:t xml:space="preserve">города Смоленска </w:t>
      </w:r>
      <w:r>
        <w:rPr>
          <w:lang w:val="ru-RU" w:eastAsia="ru-RU" w:bidi="ru-RU"/>
          <w:w w:val="100"/>
          <w:spacing w:val="0"/>
          <w:color w:val="000000"/>
          <w:position w:val="0"/>
        </w:rPr>
        <w:t xml:space="preserve">проезд Маршала Конева, </w:t>
      </w:r>
      <w:r>
        <w:rPr>
          <w:rStyle w:val="CharStyle20"/>
          <w:b w:val="0"/>
          <w:bCs w:val="0"/>
        </w:rPr>
        <w:t xml:space="preserve">Д.28Е </w:t>
      </w:r>
      <w:r>
        <w:rPr>
          <w:lang w:val="ru-RU" w:eastAsia="ru-RU" w:bidi="ru-RU"/>
          <w:w w:val="100"/>
          <w:spacing w:val="0"/>
          <w:color w:val="000000"/>
          <w:position w:val="0"/>
        </w:rPr>
        <w:t>г. Смоленск, 214019</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Уполномоченному органу</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Администрации города Смоленска</w:t>
      </w:r>
    </w:p>
    <w:p>
      <w:pPr>
        <w:pStyle w:val="Style5"/>
        <w:widowControl w:val="0"/>
        <w:keepNext w:val="0"/>
        <w:keepLines w:val="0"/>
        <w:shd w:val="clear" w:color="auto" w:fill="auto"/>
        <w:bidi w:val="0"/>
        <w:jc w:val="left"/>
        <w:spacing w:before="0" w:after="236" w:line="235" w:lineRule="exact"/>
        <w:ind w:left="20" w:right="460" w:firstLine="0"/>
      </w:pPr>
      <w:r>
        <w:rPr>
          <w:lang w:val="ru-RU" w:eastAsia="ru-RU" w:bidi="ru-RU"/>
          <w:w w:val="100"/>
          <w:spacing w:val="0"/>
          <w:color w:val="000000"/>
          <w:position w:val="0"/>
        </w:rPr>
        <w:t>ул. Октябрьской революции, д. 1/2 г. Смоленск, 214000</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Заявителю</w:t>
      </w:r>
    </w:p>
    <w:p>
      <w:pPr>
        <w:pStyle w:val="Style17"/>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ООО Архитектурно-Строительная Компания «Атриум»</w:t>
      </w:r>
    </w:p>
    <w:p>
      <w:pPr>
        <w:pStyle w:val="Style5"/>
        <w:widowControl w:val="0"/>
        <w:keepNext w:val="0"/>
        <w:keepLines w:val="0"/>
        <w:shd w:val="clear" w:color="auto" w:fill="auto"/>
        <w:bidi w:val="0"/>
        <w:jc w:val="left"/>
        <w:spacing w:before="0" w:after="0" w:line="235" w:lineRule="exact"/>
        <w:ind w:left="20" w:right="460" w:firstLine="0"/>
        <w:sectPr>
          <w:footnotePr>
            <w:pos w:val="pageBottom"/>
            <w:numFmt w:val="decimal"/>
            <w:numRestart w:val="continuous"/>
          </w:footnotePr>
          <w:type w:val="continuous"/>
          <w:pgSz w:w="11906" w:h="16838"/>
          <w:pgMar w:top="403" w:left="1002" w:right="1405" w:bottom="413" w:header="0" w:footer="3" w:gutter="0"/>
          <w:rtlGutter w:val="0"/>
          <w:cols w:num="2" w:space="720" w:equalWidth="0">
            <w:col w:w="3859" w:space="624"/>
            <w:col w:w="5016"/>
          </w:cols>
          <w:noEndnote/>
          <w:docGrid w:linePitch="360"/>
        </w:sectPr>
      </w:pPr>
      <w:r>
        <w:rPr>
          <w:lang w:val="ru-RU" w:eastAsia="ru-RU" w:bidi="ru-RU"/>
          <w:w w:val="100"/>
          <w:spacing w:val="0"/>
          <w:color w:val="000000"/>
          <w:position w:val="0"/>
        </w:rPr>
        <w:t>ул. Хользунова, д.111, кв.78 г. Воронеж, 394088</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40" w:lineRule="exact"/>
        <w:ind w:left="4780" w:right="0" w:firstLine="0"/>
      </w:pPr>
      <w:r>
        <w:rPr>
          <w:lang w:val="ru-RU" w:eastAsia="ru-RU" w:bidi="ru-RU"/>
          <w:sz w:val="24"/>
          <w:szCs w:val="24"/>
          <w:w w:val="100"/>
          <w:spacing w:val="0"/>
          <w:color w:val="000000"/>
          <w:position w:val="0"/>
        </w:rPr>
        <w:t>Электронной площадке</w:t>
      </w:r>
    </w:p>
    <w:p>
      <w:pPr>
        <w:pStyle w:val="Style17"/>
        <w:widowControl w:val="0"/>
        <w:keepNext w:val="0"/>
        <w:keepLines w:val="0"/>
        <w:shd w:val="clear" w:color="auto" w:fill="auto"/>
        <w:bidi w:val="0"/>
        <w:jc w:val="left"/>
        <w:spacing w:before="0" w:after="12" w:line="240" w:lineRule="exact"/>
        <w:ind w:left="4780" w:right="0" w:firstLine="0"/>
      </w:pPr>
      <w:r>
        <w:rPr>
          <w:lang w:val="ru-RU" w:eastAsia="ru-RU" w:bidi="ru-RU"/>
          <w:sz w:val="24"/>
          <w:szCs w:val="24"/>
          <w:w w:val="100"/>
          <w:spacing w:val="0"/>
          <w:color w:val="000000"/>
          <w:position w:val="0"/>
        </w:rPr>
        <w:t>АО «ЕЭТП»</w:t>
      </w:r>
    </w:p>
    <w:p>
      <w:pPr>
        <w:pStyle w:val="Style5"/>
        <w:widowControl w:val="0"/>
        <w:keepNext w:val="0"/>
        <w:keepLines w:val="0"/>
        <w:shd w:val="clear" w:color="auto" w:fill="auto"/>
        <w:bidi w:val="0"/>
        <w:jc w:val="left"/>
        <w:spacing w:before="0" w:after="1588" w:line="180" w:lineRule="exact"/>
        <w:ind w:left="4780" w:right="0" w:firstLine="0"/>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17"/>
        <w:widowControl w:val="0"/>
        <w:keepNext w:val="0"/>
        <w:keepLines w:val="0"/>
        <w:shd w:val="clear" w:color="auto" w:fill="auto"/>
        <w:bidi w:val="0"/>
        <w:jc w:val="center"/>
        <w:spacing w:before="0" w:after="260" w:line="298" w:lineRule="exact"/>
        <w:ind w:left="20" w:right="0" w:firstLine="0"/>
      </w:pPr>
      <w:r>
        <w:rPr>
          <w:lang w:val="ru-RU" w:eastAsia="ru-RU" w:bidi="ru-RU"/>
          <w:sz w:val="24"/>
          <w:szCs w:val="24"/>
          <w:w w:val="100"/>
          <w:spacing w:val="0"/>
          <w:color w:val="000000"/>
          <w:position w:val="0"/>
        </w:rPr>
        <w:t>РЕШЕНИЕ по делу №263/17-ЕЗ/Ж о нарушении законодательства Российской Федерации о контрактной системе</w:t>
      </w:r>
    </w:p>
    <w:p>
      <w:pPr>
        <w:pStyle w:val="Style17"/>
        <w:tabs>
          <w:tab w:leader="none" w:pos="8563" w:val="right"/>
          <w:tab w:leader="none" w:pos="9739" w:val="right"/>
        </w:tabs>
        <w:widowControl w:val="0"/>
        <w:keepNext w:val="0"/>
        <w:keepLines w:val="0"/>
        <w:shd w:val="clear" w:color="auto" w:fill="auto"/>
        <w:bidi w:val="0"/>
        <w:jc w:val="both"/>
        <w:spacing w:before="0" w:after="0" w:line="422" w:lineRule="exact"/>
        <w:ind w:left="0" w:right="0" w:firstLine="0"/>
      </w:pPr>
      <w:r>
        <w:rPr>
          <w:lang w:val="ru-RU" w:eastAsia="ru-RU" w:bidi="ru-RU"/>
          <w:sz w:val="24"/>
          <w:szCs w:val="24"/>
          <w:w w:val="100"/>
          <w:spacing w:val="0"/>
          <w:color w:val="000000"/>
          <w:position w:val="0"/>
        </w:rPr>
        <w:t>7 ноября 2017 года</w:t>
        <w:tab/>
        <w:t>г.</w:t>
        <w:tab/>
        <w:t>Смоленск</w:t>
      </w:r>
    </w:p>
    <w:p>
      <w:pPr>
        <w:pStyle w:val="Style17"/>
        <w:widowControl w:val="0"/>
        <w:keepNext w:val="0"/>
        <w:keepLines w:val="0"/>
        <w:shd w:val="clear" w:color="auto" w:fill="auto"/>
        <w:bidi w:val="0"/>
        <w:jc w:val="both"/>
        <w:spacing w:before="0" w:after="0" w:line="422" w:lineRule="exact"/>
        <w:ind w:left="0" w:right="0" w:firstLine="0"/>
        <w:sectPr>
          <w:type w:val="continuous"/>
          <w:pgSz w:w="11906" w:h="16838"/>
          <w:pgMar w:top="418" w:left="719" w:right="1194" w:bottom="428"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36" w:wrap="around" w:vAnchor="text" w:hAnchor="margin" w:x="3321" w:y="1205"/>
        <w:widowControl w:val="0"/>
        <w:keepNext w:val="0"/>
        <w:keepLines w:val="0"/>
        <w:shd w:val="clear" w:color="auto" w:fill="auto"/>
        <w:bidi w:val="0"/>
        <w:jc w:val="left"/>
        <w:spacing w:before="0" w:after="0" w:line="230" w:lineRule="exact"/>
        <w:ind w:left="100" w:right="0" w:firstLine="0"/>
      </w:pPr>
      <w:r>
        <w:rPr>
          <w:rStyle w:val="CharStyle21"/>
          <w:spacing w:val="0"/>
        </w:rPr>
        <w:t>А.Е. Лукашев</w:t>
      </w:r>
    </w:p>
    <w:p>
      <w:pPr>
        <w:widowControl w:val="0"/>
        <w:rPr>
          <w:sz w:val="2"/>
          <w:szCs w:val="2"/>
        </w:rPr>
      </w:pPr>
    </w:p>
    <w:p>
      <w:pPr>
        <w:pStyle w:val="Style17"/>
        <w:widowControl w:val="0"/>
        <w:keepNext w:val="0"/>
        <w:keepLines w:val="0"/>
        <w:shd w:val="clear" w:color="auto" w:fill="auto"/>
        <w:bidi w:val="0"/>
        <w:jc w:val="both"/>
        <w:spacing w:before="0" w:after="590" w:line="302" w:lineRule="exact"/>
        <w:ind w:left="0" w:right="40" w:firstLine="0"/>
      </w:pPr>
      <w:r>
        <w:rPr>
          <w:lang w:val="ru-RU" w:eastAsia="ru-RU" w:bidi="ru-RU"/>
          <w:sz w:val="24"/>
          <w:szCs w:val="24"/>
          <w:w w:val="100"/>
          <w:spacing w:val="0"/>
          <w:color w:val="000000"/>
          <w:position w:val="0"/>
        </w:rPr>
        <w:t>Заместитель Председателя - В.П. Епейкин Комиссии:</w:t>
      </w:r>
    </w:p>
    <w:p>
      <w:pPr>
        <w:pStyle w:val="Style17"/>
        <w:widowControl w:val="0"/>
        <w:keepNext w:val="0"/>
        <w:keepLines w:val="0"/>
        <w:shd w:val="clear" w:color="auto" w:fill="auto"/>
        <w:bidi w:val="0"/>
        <w:jc w:val="right"/>
        <w:spacing w:before="0" w:after="1202" w:line="240" w:lineRule="exact"/>
        <w:ind w:left="0" w:right="40" w:firstLine="0"/>
      </w:pPr>
      <w:r>
        <w:rPr>
          <w:lang w:val="ru-RU" w:eastAsia="ru-RU" w:bidi="ru-RU"/>
          <w:sz w:val="24"/>
          <w:szCs w:val="24"/>
          <w:w w:val="100"/>
          <w:spacing w:val="0"/>
          <w:color w:val="000000"/>
          <w:position w:val="0"/>
        </w:rPr>
        <w:t>Члены Комиссии:</w:t>
      </w:r>
    </w:p>
    <w:p>
      <w:pPr>
        <w:pStyle w:val="Style17"/>
        <w:widowControl w:val="0"/>
        <w:keepNext w:val="0"/>
        <w:keepLines w:val="0"/>
        <w:shd w:val="clear" w:color="auto" w:fill="auto"/>
        <w:bidi w:val="0"/>
        <w:jc w:val="right"/>
        <w:spacing w:before="0" w:after="0" w:line="240" w:lineRule="exact"/>
        <w:ind w:left="0" w:right="40" w:firstLine="0"/>
      </w:pPr>
      <w:r>
        <w:rPr>
          <w:lang w:val="ru-RU" w:eastAsia="ru-RU" w:bidi="ru-RU"/>
          <w:sz w:val="24"/>
          <w:szCs w:val="24"/>
          <w:w w:val="100"/>
          <w:spacing w:val="0"/>
          <w:color w:val="000000"/>
          <w:position w:val="0"/>
        </w:rPr>
        <w:t>- А.О. Казакова</w:t>
      </w:r>
    </w:p>
    <w:p>
      <w:pPr>
        <w:pStyle w:val="Style17"/>
        <w:widowControl w:val="0"/>
        <w:keepNext w:val="0"/>
        <w:keepLines w:val="0"/>
        <w:shd w:val="clear" w:color="auto" w:fill="auto"/>
        <w:bidi w:val="0"/>
        <w:jc w:val="both"/>
        <w:spacing w:before="0" w:after="0" w:line="298" w:lineRule="exact"/>
        <w:ind w:left="20" w:right="20" w:firstLine="460"/>
      </w:pPr>
      <w:r>
        <w:rPr>
          <w:lang w:val="ru-RU" w:eastAsia="ru-RU" w:bidi="ru-RU"/>
          <w:sz w:val="24"/>
          <w:szCs w:val="24"/>
          <w:w w:val="100"/>
          <w:spacing w:val="0"/>
          <w:color w:val="000000"/>
          <w:position w:val="0"/>
        </w:rPr>
        <w:t>начальник отдела контроля закупок и антимонопольного контроля органов власти Смоленского У ФАС России;</w:t>
      </w:r>
    </w:p>
    <w:p>
      <w:pPr>
        <w:pStyle w:val="Style17"/>
        <w:tabs>
          <w:tab w:leader="none" w:pos="4038" w:val="right"/>
        </w:tabs>
        <w:widowControl w:val="0"/>
        <w:keepNext w:val="0"/>
        <w:keepLines w:val="0"/>
        <w:shd w:val="clear" w:color="auto" w:fill="auto"/>
        <w:bidi w:val="0"/>
        <w:jc w:val="both"/>
        <w:spacing w:before="0" w:after="0" w:line="298" w:lineRule="exact"/>
        <w:ind w:left="20" w:right="20" w:firstLine="460"/>
      </w:pPr>
      <w:r>
        <w:rPr>
          <w:lang w:val="ru-RU" w:eastAsia="ru-RU" w:bidi="ru-RU"/>
          <w:sz w:val="24"/>
          <w:szCs w:val="24"/>
          <w:w w:val="100"/>
          <w:spacing w:val="0"/>
          <w:color w:val="000000"/>
          <w:position w:val="0"/>
        </w:rPr>
        <w:t>ведущий специалист-эксперт отдела контроля закупок и антимонопольного</w:t>
        <w:tab/>
        <w:t>контроля</w:t>
      </w:r>
    </w:p>
    <w:p>
      <w:pPr>
        <w:pStyle w:val="Style1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органов власти Смоленского У ФАС России;</w:t>
      </w:r>
    </w:p>
    <w:p>
      <w:pPr>
        <w:pStyle w:val="Style17"/>
        <w:widowControl w:val="0"/>
        <w:keepNext w:val="0"/>
        <w:keepLines w:val="0"/>
        <w:shd w:val="clear" w:color="auto" w:fill="auto"/>
        <w:bidi w:val="0"/>
        <w:jc w:val="both"/>
        <w:spacing w:before="0" w:after="0" w:line="298" w:lineRule="exact"/>
        <w:ind w:left="20" w:right="180" w:firstLine="0"/>
        <w:sectPr>
          <w:type w:val="continuous"/>
          <w:pgSz w:w="11906" w:h="16838"/>
          <w:pgMar w:top="403" w:left="757" w:right="1160" w:bottom="413" w:header="0" w:footer="3" w:gutter="0"/>
          <w:rtlGutter w:val="0"/>
          <w:cols w:num="2" w:space="720" w:equalWidth="0">
            <w:col w:w="4987" w:space="960"/>
            <w:col w:w="4042"/>
          </w:cols>
          <w:noEndnote/>
          <w:docGrid w:linePitch="360"/>
        </w:sectPr>
      </w:pPr>
      <w:r>
        <w:rPr>
          <w:lang w:val="ru-RU" w:eastAsia="ru-RU" w:bidi="ru-RU"/>
          <w:sz w:val="24"/>
          <w:szCs w:val="24"/>
          <w:w w:val="100"/>
          <w:spacing w:val="0"/>
          <w:color w:val="000000"/>
          <w:position w:val="0"/>
        </w:rPr>
        <w:t>- ведущий специалист-эксперт отдела контроля закупок и антимонопольного контроля органов власти Смоленского У ФАС России;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keepLines/>
        <w:shd w:val="clear" w:color="auto" w:fill="auto"/>
        <w:bidi w:val="0"/>
        <w:jc w:val="left"/>
        <w:spacing w:before="0" w:after="0" w:line="320" w:lineRule="exact"/>
        <w:ind w:left="0" w:right="0" w:firstLine="0"/>
        <w:sectPr>
          <w:type w:val="continuous"/>
          <w:pgSz w:w="11906" w:h="16838"/>
          <w:pgMar w:top="418" w:left="8960" w:right="685" w:bottom="428" w:header="0" w:footer="3" w:gutter="0"/>
          <w:rtlGutter w:val="0"/>
          <w:cols w:space="720"/>
          <w:noEndnote/>
          <w:docGrid w:linePitch="360"/>
        </w:sectPr>
      </w:pPr>
      <w:bookmarkStart w:id="1" w:name="bookmark1"/>
      <w:r>
        <w:rPr>
          <w:lang w:val="ru-RU" w:eastAsia="ru-RU" w:bidi="ru-RU"/>
          <w:w w:val="100"/>
          <w:color w:val="000000"/>
          <w:position w:val="0"/>
        </w:rPr>
        <w:t>018904 О</w:t>
      </w:r>
      <w:bookmarkEnd w:id="1"/>
    </w:p>
    <w:p>
      <w:pPr>
        <w:pStyle w:val="Style17"/>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при участии представителей:</w:t>
      </w:r>
    </w:p>
    <w:p>
      <w:pPr>
        <w:pStyle w:val="Style1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от муниципального заказчика: Кириковой О.Ю. представителя по доверенности от 02.1 </w:t>
      </w:r>
      <w:r>
        <w:rPr>
          <w:lang w:val="en-US" w:eastAsia="en-US" w:bidi="en-US"/>
          <w:sz w:val="24"/>
          <w:szCs w:val="24"/>
          <w:w w:val="100"/>
          <w:spacing w:val="0"/>
          <w:color w:val="000000"/>
          <w:position w:val="0"/>
        </w:rPr>
        <w:t>L2017,</w:t>
      </w:r>
    </w:p>
    <w:p>
      <w:pPr>
        <w:pStyle w:val="Style1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от уполномоченного органа: Слютиной О.А. представителя по доверенности от 09.08.2017,</w:t>
      </w:r>
    </w:p>
    <w:p>
      <w:pPr>
        <w:pStyle w:val="Style17"/>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представители заявителя на заседание не явились, уведомлены надлежащим образом;</w:t>
      </w:r>
    </w:p>
    <w:p>
      <w:pPr>
        <w:pStyle w:val="Style17"/>
        <w:widowControl w:val="0"/>
        <w:keepNext w:val="0"/>
        <w:keepLines w:val="0"/>
        <w:shd w:val="clear" w:color="auto" w:fill="auto"/>
        <w:bidi w:val="0"/>
        <w:jc w:val="both"/>
        <w:spacing w:before="0" w:after="106" w:line="298" w:lineRule="exact"/>
        <w:ind w:left="20" w:right="20" w:firstLine="700"/>
      </w:pPr>
      <w:r>
        <w:rPr>
          <w:lang w:val="ru-RU" w:eastAsia="ru-RU" w:bidi="ru-RU"/>
          <w:sz w:val="24"/>
          <w:szCs w:val="24"/>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 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стЛОб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 ФАС России жалобу ООО Архитектурно-Строительная Компания «Атриум» на положения аукционной документации электронного аукциона на поставку и установку малых архитектурных форм на территории Промышленного района города Смоленска (извещение № 0163300029417001329)</w:t>
      </w:r>
    </w:p>
    <w:p>
      <w:pPr>
        <w:pStyle w:val="Style17"/>
        <w:widowControl w:val="0"/>
        <w:keepNext w:val="0"/>
        <w:keepLines w:val="0"/>
        <w:shd w:val="clear" w:color="auto" w:fill="auto"/>
        <w:bidi w:val="0"/>
        <w:jc w:val="left"/>
        <w:spacing w:before="0" w:after="76" w:line="240" w:lineRule="exact"/>
        <w:ind w:left="448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Суть жалобы ООО Архитектурно-Строительная Компания «Атриум» (далее - Заявитель, Общество) сводится к следующему:</w:t>
      </w:r>
    </w:p>
    <w:p>
      <w:pPr>
        <w:pStyle w:val="Style17"/>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 п.п. 3 и 4 Технического задания аукционной документации к товару «Качели» заказчиком установлены требования к использованию жесткого подвеса (материал сидения - трубы).</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подпункту 5.5 ГОСТ Р 52167-2012 «Оборудование для детских игровых площадок. Безопасность конструкции и методы испытаний качелей. Общие требования» на качелях запрещается применять жесткие элементы подвеса. Данное требование обусловлено высокой ударной нагрузкой жесткого подвеса, ввиду которого такое оборудование является небезопасным и при эксплуатации может привести к травмам.</w:t>
      </w:r>
    </w:p>
    <w:p>
      <w:pPr>
        <w:pStyle w:val="Style17"/>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 техническом задании отсутствует информация о возрасте детей, для которых предназначено закупаемое оборудование.</w:t>
      </w:r>
    </w:p>
    <w:p>
      <w:pPr>
        <w:pStyle w:val="Style17"/>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 аукционной документации отсутствует изображение поставляемого товара, а техническое описание не является объективным и информационно емким.</w:t>
      </w:r>
    </w:p>
    <w:p>
      <w:pPr>
        <w:pStyle w:val="Style17"/>
        <w:numPr>
          <w:ilvl w:val="0"/>
          <w:numId w:val="1"/>
        </w:numPr>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 xml:space="preserve"> Заказчиком не представлен ответ на запрос разъяснений.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связи с изложенным Заявитель просит выдать предписание об устранении выявленных нарушений законодательства.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ответчиков с доводами жалобы не согласились, в связи, с чем просят признать жалобу необоснованной.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 ФАС России по контролю в сфере закупок установлено следующее.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на поставку и установку малых архитектурных форм на территории Промышленного района города Смоленска и аукционная документация размещены 23.10.2017 в единой информационной системе.</w:t>
      </w:r>
    </w:p>
    <w:p>
      <w:pPr>
        <w:pStyle w:val="Style17"/>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Начальная (максимальная) цена контракта - 250 000,00 руб.</w:t>
      </w:r>
    </w:p>
    <w:p>
      <w:pPr>
        <w:pStyle w:val="Style17"/>
        <w:numPr>
          <w:ilvl w:val="0"/>
          <w:numId w:val="3"/>
        </w:numPr>
        <w:tabs>
          <w:tab w:leader="none" w:pos="1106" w:val="lef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силу п. 1 л. 1 ст. 64 Закона о контрактной системе документация юб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данного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п. 1, 2 ч. 1 ст.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7"/>
        <w:numPr>
          <w:ilvl w:val="0"/>
          <w:numId w:val="5"/>
        </w:numPr>
        <w:tabs>
          <w:tab w:leader="none" w:pos="4629" w:val="left"/>
          <w:tab w:leader="none" w:pos="10078" w:val="righ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w:t>
        <w:tab/>
        <w:t>характеристики</w:t>
        <w:tab/>
        <w:t>объекта закупки (при</w:t>
      </w:r>
    </w:p>
    <w:p>
      <w:pPr>
        <w:pStyle w:val="Style17"/>
        <w:tabs>
          <w:tab w:leader="none" w:pos="10078" w:val="righ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необходимости). В описание объекта закупки не должны</w:t>
        <w:tab/>
        <w:t>включаться требования или</w:t>
      </w:r>
    </w:p>
    <w:p>
      <w:pPr>
        <w:pStyle w:val="Style17"/>
        <w:tabs>
          <w:tab w:leader="none" w:pos="4629" w:val="left"/>
          <w:tab w:leader="none" w:pos="10078" w:val="righ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указания в отношении товарных</w:t>
        <w:tab/>
        <w:t>знаков, знаков</w:t>
        <w:tab/>
        <w:t>обслуживания, фирменных</w:t>
      </w:r>
    </w:p>
    <w:p>
      <w:pPr>
        <w:pStyle w:val="Style17"/>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7"/>
        <w:numPr>
          <w:ilvl w:val="0"/>
          <w:numId w:val="5"/>
        </w:numPr>
        <w:tabs>
          <w:tab w:leader="none" w:pos="4629" w:val="left"/>
          <w:tab w:leader="none" w:pos="10078" w:val="righ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использование при составлении описания объекта закупки показателей, требований, условных обозначений</w:t>
        <w:tab/>
        <w:t>и терминологии,</w:t>
        <w:tab/>
        <w:t>касающихся технических</w:t>
      </w:r>
    </w:p>
    <w:p>
      <w:pPr>
        <w:pStyle w:val="Style17"/>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7"/>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Частью 2 ст. 33 Закона о контрактной системе предписано,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Исходя из смысла п. 1ч. 1, ч. 2 ст. 33 Закона о контрактной системе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 при оказании соответствующих услуг при условии обоснования заказчиком соответствующей потребности.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Наряду с необходимостью соблюдения требований Закона о контрактной системен части объективного описания объекта закупки, точное определение объекта закупки является объективной потребностью заказчика, исключающее поставку товара, выполнение работ, оказание услуг, не соответствующих нуждам заказчика и целям, для достижения которых осуществляется закупка.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Закон предусматривает право заказчика определить в документации об аукционе такие требования к объекту закупки, которые соответствуют потребностям заказчика с учетом специфики его деятельности и обеспечивают эффективное использование бюджетных средств.</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Более того, участники закупки не имеют полномочий по самостоятельному определению характеристик спорного товара, определенных заказчиком исходя из своей потребности.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буквального толкования вышеназванных положений следует, что заказчики, осуществляющие закупку по правилам данного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выбор поставщика (подрядчика, исполнителя), обладающего возможностью исполнить условия, соответствующие потребности заказчика, а с другой стороны, необоснованно не ограничить количество участников закупки.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При этом действующее законодательство не накладывает на заказчика^ при проведении закупок обязанность учитывать интересы всех поставщиков (подрядчиков, исполнителей), поставляющих товар (выполняющих работы, оказывающих услуги), являющиеся объектом закупки. Даже отсутствие на момент закупки у отдельных хозяйствующих субъектов возможности исполнить условия документации такой закупки, не может являться нарушением прав и законных интересов таких лиц, а так же не является ограничением конкуренции.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Как следует из материалов дела, предметом данной закупки является поставка и установка малых архитектурных форм на территории Промышленного района города Смоленска (детские игровые площадки).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3, 4 Технического задания аукционной документации заказчиком установлены требования к функциональным, техническим и качественным характеристикам, эксплуатационным характеристикам качелей одноместных и двухместных.</w:t>
      </w:r>
    </w:p>
    <w:p>
      <w:pPr>
        <w:pStyle w:val="Style17"/>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Качели одноместные:</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Размеры: длина не менее 1800мм, ширина не менее 1500мм, высота не менее 1700мм;</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Материалы: металлическая труба, влагостойкая фанера, эмаль, грунт ГФ, оцинкованный крепеж;</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Комплектация: стойки качелей выполнены из металлической трубы диаметром не менее 40 мм и соединены в нижней части поперечиной из металлической трубы сечением не менее 20 мм. Балка выполнена из металлической трубы диаметром не менее 40 .мм. Сидение из влагостойкой фанеры.</w:t>
      </w:r>
    </w:p>
    <w:p>
      <w:pPr>
        <w:pStyle w:val="Style17"/>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Качели двухсекционные:</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Размеры: длина не менее 2300мм, ширина не менее 1500мм, высота не менее 1700мм;</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Материалы: металлическая труба, влагостойкая фанера, эмаль, грунт ГФ, оцинкованный крепеж;</w:t>
      </w:r>
    </w:p>
    <w:p>
      <w:pPr>
        <w:pStyle w:val="Style17"/>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Комплектация: стойки качелей выполнены из металлической трубы диаметром не менее 40 мм и соединены в нижней части поперечиной из металлической трубы сечением не менее 20 мм. Балка выполнена из металлической трубы диаметром не менее 40 мй. Сидение из влагостойкой фанеры толщиной не менее 15 мм. Оцинкованный крепеж;</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Металлические детали прогрунтованы и покрашены краской на основе светостойких и атмосферостойких пигментов, растворителей и вспомогательных средств. Детали из фанеры прогрунтованы и покрашены краской.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 1 ГОСТ Р 52167-2012 «Национальный стандарт Российской Федерации. Оборудование и покрытия детских игровых площадок. Безопасность конструкции и методы испытаний качелей. Общие требования» (далее - ГОСТ Р 52167-2012) область применения настоящего стандарта распространяется на качели, устанавливаемые на детских игровых площадках. Стандарт устанавливает общие требования к безопасности конструкции и методам испытаний качелей всех типов.</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 5.5 ГОСТ Р 52167-2012 на качелях запрещается применять жесткие элементы подвеса.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Изучив аукционную документацию, Комиссия приходит к выводу, что заказчиком в Техническом задании не установлены требования к элементам подвеса качелей.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Комиссией установлено, что в п. 3.1 проекта контракта, являющегося неотъемлемой частью аукционной документации определено, что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сертификатами и иными документами на русском языке.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участник закупки при подготовке заявки на участие в электронном аукционе должен был руководствоваться ГОСТ Р 52167-2012 в части требований к элементам подвеса качелей, первый довод жалобы является необоснованным.</w:t>
      </w:r>
    </w:p>
    <w:p>
      <w:pPr>
        <w:pStyle w:val="Style17"/>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Объектом закупки является поставка малых архитектурных форм, а именно: скамья без спинки с поручнем, малый мусорный контейнер (урна) качели одноместные, качели двухсекционные, игровая форма, спортивный комплекс, лаз, шведская стенка с турником.</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данном случае предполагается установка оборудования для разных возрастных групп детей и взрослых.</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Касаемо качелей детских, ГОСТом Р 52167-2012 не установлены требования к возрасту детей использующих данное оборудование.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Довод заявителя об отсутствии в техническом задании информации о возрасте детей, для которых закупается оборудование не нашел своего подтверждения.</w:t>
      </w:r>
    </w:p>
    <w:p>
      <w:pPr>
        <w:pStyle w:val="Style17"/>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 соответствии с ч. 9 ст. 105 Закона о контрактной системе к жалобе прикладываются документы, подтверждающие ее обоснованность.</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Заявитель не указывает, в чем, по его мнению, выразилось нарушение заказчиком правил описания объекта закупки, повлекшее ущемление его прав и законных интересов, как участника данной закупки.</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Соответственно, Заявителем в жалобе документального подтверждения доводов жалобы, с точки зрения достаточности представленных доказательств, которые бы позволяли сделать вывод о_ том, что участнику закупки (потенциальному участнику, поставщику) создаются какие-либо препятствия для подачи заявки, а также для исполнения поставщиком своих обязанностей по контракту также представлено не было.</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 точки зрения Комиссии, для профессионально участника рынка не будет затруднительным, изучив указанные в аукционной документации требования к поставляемым товарам, составить представление о функциональном и техническом назначении соответствующих товаров.</w:t>
      </w:r>
    </w:p>
    <w:p>
      <w:pPr>
        <w:pStyle w:val="Style17"/>
        <w:numPr>
          <w:ilvl w:val="0"/>
          <w:numId w:val="3"/>
        </w:numPr>
        <w:tabs>
          <w:tab w:leader="none" w:pos="1086"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 11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Комиссией установлено, что Информационная карта аукционной документации содержит пункт 23 'определяющий 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p>
      <w:pPr>
        <w:pStyle w:val="Style17"/>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частности установлено следующее: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начала срока предоставления разъяснений положений документации об электронном аукционе - дата размещения извещения о проведении электронного аукциона на официальном сайте единой информационной системы.</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окончания срока подачи запроса о разъяснении положений документации об электронном аукционе - 27.10.2017 г.</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окончания срока предоставления разъяснений положений документации об электронном аукционе - 29.10.2017 г.</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Исходя из смысла п. 11 ч. 1 ст. 64 Закона о контрактной системе участник закупки вправе направить запрос о разъяснении положений документации об аукционе электронном в сроки, указанные в документации об электронном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Срок, в течение которого участник закупки вправе направить запрос о разъяснении положений документации об электронном аукционе, и срок предоставления заказчиком ответа на такой запрос регламентированы частью 4 статьи 65 Закона о контрактной системе.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3 ст.65 Закона о контрактной системе запрос о даче разъяснений положений документации об электронном аукционе должен поступить заказчику не позднее чем за три дня до даты окончания срока подачи заявок на участие в таком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4 ст.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представленным на рассмотрение жалобы сведениям из личного кабинета заказчика на электронной площадке в пятницу 27.10.2017 в 17:01 заказчику от оператора электронной площадки поступил запрос о разъяснении положений документации об электронном аукционе.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 6.1 раздела 6 «Режим работы Администрации города Смоленска» регламента Администрации города Смоленска, утвержденного распоряжением Администрации города Смоленска от 02.12.2015 года № 27-р/адм, рабочие дни в Администрации города Смоленска с понедельника по пятницу, окончание работы по пятницам в 17 часов 00 минут.</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Решения 37-й сессии Смоленского городского Совета IV созыва от 06.07.2012 № 649 «Об утверждении структуры Администрации города Смоленска»</w:t>
      </w:r>
    </w:p>
    <w:p>
      <w:pPr>
        <w:pStyle w:val="Style1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Администрация Промышленного района является территориальным органом Администрации города Смоленска.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Положениями ч. 1 ст. 2 Закона о контрактной системе предусмотрено,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 (далее - ГК РФ).</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со ст. 191 ГК РФ течение срока, определенного периодом времени, начинается на следующий день после календарной даты или наступления события, которым определено его начало.</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Крайним днем окончания срока предоставления разъяснений положений документации об электронном аукционе явилось воскресенье 29 октября 2017 года.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со ст., 193 ГК РФ, если последний день срока приходится на нерабочий день, днем окончания срока считается ближайший следующий за ним рабочий день.</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понедельник 30 октября 2017 года уполномоченным органом на официальном сайте единой информационной системы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было опубликовано разъяснение Заказчика Администрации Промышленного района города Смоленска №37/2/2377 от 30.10.2017 к электронному аукциону №0163300029417001329.</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ходе внеплановой проверки Комиссией установлено, что на участие в электронном аукционе было подано две заявки. Нарушений законодательства о контрактной системе при рассмотрении первых частей заявок на участие в электронном аукционе не выявлено.</w:t>
      </w:r>
    </w:p>
    <w:p>
      <w:pPr>
        <w:pStyle w:val="Style17"/>
        <w:widowControl w:val="0"/>
        <w:keepNext w:val="0"/>
        <w:keepLines w:val="0"/>
        <w:shd w:val="clear" w:color="auto" w:fill="auto"/>
        <w:bidi w:val="0"/>
        <w:jc w:val="both"/>
        <w:spacing w:before="0" w:after="226" w:line="298" w:lineRule="exact"/>
        <w:ind w:left="20" w:right="20" w:firstLine="70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 ФАС России по контролю в сфере закупок</w:t>
      </w:r>
    </w:p>
    <w:p>
      <w:pPr>
        <w:pStyle w:val="Style17"/>
        <w:widowControl w:val="0"/>
        <w:keepNext w:val="0"/>
        <w:keepLines w:val="0"/>
        <w:shd w:val="clear" w:color="auto" w:fill="auto"/>
        <w:bidi w:val="0"/>
        <w:jc w:val="center"/>
        <w:spacing w:before="0" w:after="76" w:line="240" w:lineRule="exact"/>
        <w:ind w:left="20" w:right="0" w:firstLine="0"/>
      </w:pPr>
      <w:r>
        <w:rPr>
          <w:lang w:val="ru-RU" w:eastAsia="ru-RU" w:bidi="ru-RU"/>
          <w:sz w:val="24"/>
          <w:szCs w:val="24"/>
          <w:w w:val="100"/>
          <w:spacing w:val="0"/>
          <w:color w:val="000000"/>
          <w:position w:val="0"/>
        </w:rPr>
        <w:t>РЕШИЛА:</w:t>
      </w:r>
    </w:p>
    <w:p>
      <w:pPr>
        <w:pStyle w:val="Style17"/>
        <w:widowControl w:val="0"/>
        <w:keepNext w:val="0"/>
        <w:keepLines w:val="0"/>
        <w:shd w:val="clear" w:color="auto" w:fill="auto"/>
        <w:bidi w:val="0"/>
        <w:jc w:val="both"/>
        <w:spacing w:before="0" w:after="356" w:line="298" w:lineRule="exact"/>
        <w:ind w:left="20" w:right="20" w:firstLine="700"/>
      </w:pPr>
      <w:r>
        <w:rPr>
          <w:lang w:val="ru-RU" w:eastAsia="ru-RU" w:bidi="ru-RU"/>
          <w:sz w:val="24"/>
          <w:szCs w:val="24"/>
          <w:w w:val="100"/>
          <w:spacing w:val="0"/>
          <w:color w:val="000000"/>
          <w:position w:val="0"/>
        </w:rPr>
        <w:t>Признать жалобу ООО Архитектурно-Строительная Компания «Атриум» на положения аукционной документации электронного аукциона на поставку и установку малых архитектурных форм на территории Промышленного района города Смоленска (извещение № 0163300029417001329) необоснованной.</w:t>
      </w:r>
    </w:p>
    <w:p>
      <w:pPr>
        <w:pStyle w:val="Style24"/>
        <w:widowControl w:val="0"/>
        <w:keepNext w:val="0"/>
        <w:keepLines w:val="0"/>
        <w:shd w:val="clear" w:color="auto" w:fill="auto"/>
        <w:bidi w:val="0"/>
        <w:spacing w:before="0" w:after="230"/>
        <w:ind w:left="20" w:right="20"/>
      </w:pPr>
      <w:r>
        <w:rPr>
          <w:lang w:val="ru-RU" w:eastAsia="ru-RU" w:bidi="ru-RU"/>
          <w:sz w:val="24"/>
          <w:szCs w:val="24"/>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widowControl w:val="0"/>
        <w:keepNext w:val="0"/>
        <w:keepLines w:val="0"/>
        <w:shd w:val="clear" w:color="auto" w:fill="auto"/>
        <w:bidi w:val="0"/>
        <w:jc w:val="left"/>
        <w:spacing w:before="0" w:after="653" w:line="240" w:lineRule="exact"/>
        <w:ind w:left="980" w:right="0" w:firstLine="0"/>
      </w:pPr>
      <w:r>
        <w:rPr>
          <w:lang w:val="ru-RU" w:eastAsia="ru-RU" w:bidi="ru-RU"/>
          <w:sz w:val="24"/>
          <w:szCs w:val="24"/>
          <w:w w:val="100"/>
          <w:spacing w:val="0"/>
          <w:color w:val="000000"/>
          <w:position w:val="0"/>
        </w:rPr>
        <w:t>В.П. Епейкин</w:t>
      </w:r>
    </w:p>
    <w:p>
      <w:pPr>
        <w:pStyle w:val="Style17"/>
        <w:widowControl w:val="0"/>
        <w:keepNext w:val="0"/>
        <w:keepLines w:val="0"/>
        <w:shd w:val="clear" w:color="auto" w:fill="auto"/>
        <w:bidi w:val="0"/>
        <w:jc w:val="left"/>
        <w:spacing w:before="0" w:after="653" w:line="240" w:lineRule="exact"/>
        <w:ind w:left="980" w:right="0" w:firstLine="0"/>
      </w:pPr>
      <w:r>
        <w:rPr>
          <w:lang w:val="ru-RU" w:eastAsia="ru-RU" w:bidi="ru-RU"/>
          <w:sz w:val="24"/>
          <w:szCs w:val="24"/>
          <w:w w:val="100"/>
          <w:spacing w:val="0"/>
          <w:color w:val="000000"/>
          <w:position w:val="0"/>
        </w:rPr>
        <w:t>А.Е. Лукашев</w:t>
      </w:r>
    </w:p>
    <w:p>
      <w:pPr>
        <w:pStyle w:val="Style17"/>
        <w:widowControl w:val="0"/>
        <w:keepNext w:val="0"/>
        <w:keepLines w:val="0"/>
        <w:shd w:val="clear" w:color="auto" w:fill="auto"/>
        <w:bidi w:val="0"/>
        <w:jc w:val="left"/>
        <w:spacing w:before="0" w:after="0" w:line="240" w:lineRule="exact"/>
        <w:ind w:left="980" w:right="0" w:firstLine="0"/>
      </w:pPr>
      <w:r>
        <w:rPr>
          <w:lang w:val="ru-RU" w:eastAsia="ru-RU" w:bidi="ru-RU"/>
          <w:sz w:val="24"/>
          <w:szCs w:val="24"/>
          <w:w w:val="100"/>
          <w:spacing w:val="0"/>
          <w:color w:val="000000"/>
          <w:position w:val="0"/>
        </w:rPr>
        <w:t>А.О. Казакова</w:t>
      </w:r>
    </w:p>
    <w:sectPr>
      <w:pgSz w:w="11906" w:h="16838"/>
      <w:pgMar w:top="1504" w:left="912" w:right="899" w:bottom="9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iCs/>
      <w:u w:val="none"/>
      <w:strike w:val="0"/>
      <w:smallCaps w:val="0"/>
      <w:sz w:val="28"/>
      <w:szCs w:val="28"/>
      <w:rFonts w:ascii="Times New Roman" w:eastAsia="Times New Roman" w:hAnsi="Times New Roman" w:cs="Times New Roman"/>
    </w:rPr>
  </w:style>
  <w:style w:type="character" w:customStyle="1" w:styleId="CharStyle6">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5"/>
    </w:rPr>
  </w:style>
  <w:style w:type="character" w:customStyle="1" w:styleId="CharStyle7">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val="0"/>
      <w:iCs w:val="0"/>
      <w:u w:val="none"/>
      <w:strike w:val="0"/>
      <w:smallCaps w:val="0"/>
      <w:sz w:val="13"/>
      <w:szCs w:val="13"/>
      <w:rFonts w:ascii="Times New Roman" w:eastAsia="Times New Roman" w:hAnsi="Times New Roman" w:cs="Times New Roman"/>
    </w:rPr>
  </w:style>
  <w:style w:type="character" w:customStyle="1" w:styleId="CharStyle13">
    <w:name w:val="Заголовок №2_"/>
    <w:basedOn w:val="DefaultParagraphFont"/>
    <w:link w:val="Style12"/>
    <w:rPr>
      <w:b w:val="0"/>
      <w:bCs w:val="0"/>
      <w:i/>
      <w:iCs/>
      <w:u w:val="none"/>
      <w:strike w:val="0"/>
      <w:smallCaps w:val="0"/>
      <w:rFonts w:ascii="Times New Roman" w:eastAsia="Times New Roman" w:hAnsi="Times New Roman" w:cs="Times New Roman"/>
    </w:rPr>
  </w:style>
  <w:style w:type="character" w:customStyle="1" w:styleId="CharStyle14">
    <w:name w:val="Заголовок №2 + Полужирный,Не курсив,Интервал -2 pt"/>
    <w:basedOn w:val="CharStyle13"/>
    <w:rPr>
      <w:lang w:val="ru-RU" w:eastAsia="ru-RU" w:bidi="ru-RU"/>
      <w:b/>
      <w:bCs/>
      <w:i/>
      <w:iCs/>
      <w:sz w:val="24"/>
      <w:szCs w:val="24"/>
      <w:w w:val="100"/>
      <w:spacing w:val="-40"/>
      <w:color w:val="000000"/>
      <w:position w:val="0"/>
    </w:rPr>
  </w:style>
  <w:style w:type="character" w:customStyle="1" w:styleId="CharStyle15">
    <w:name w:val="Заголовок №2 + Полужирный,Не курсив,Интервал -2 pt"/>
    <w:basedOn w:val="CharStyle13"/>
    <w:rPr>
      <w:lang w:val="ru-RU" w:eastAsia="ru-RU" w:bidi="ru-RU"/>
      <w:b/>
      <w:bCs/>
      <w:i/>
      <w:iCs/>
      <w:u w:val="single"/>
      <w:sz w:val="24"/>
      <w:szCs w:val="24"/>
      <w:w w:val="100"/>
      <w:spacing w:val="-40"/>
      <w:color w:val="000000"/>
      <w:position w:val="0"/>
    </w:rPr>
  </w:style>
  <w:style w:type="character" w:customStyle="1" w:styleId="CharStyle16">
    <w:name w:val="Заголовок №2"/>
    <w:basedOn w:val="CharStyle13"/>
    <w:rPr>
      <w:lang w:val="ru-RU" w:eastAsia="ru-RU" w:bidi="ru-RU"/>
      <w:u w:val="single"/>
      <w:sz w:val="24"/>
      <w:szCs w:val="24"/>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2) + 12 pt,Не полужирный"/>
    <w:basedOn w:val="CharStyle7"/>
    <w:rPr>
      <w:lang w:val="ru-RU" w:eastAsia="ru-RU" w:bidi="ru-RU"/>
      <w:b/>
      <w:bCs/>
      <w:sz w:val="24"/>
      <w:szCs w:val="24"/>
      <w:w w:val="100"/>
      <w:spacing w:val="0"/>
      <w:color w:val="000000"/>
      <w:position w:val="0"/>
    </w:rPr>
  </w:style>
  <w:style w:type="character" w:customStyle="1" w:styleId="CharStyle20">
    <w:name w:val="Основной текст (2) + 8,5 pt,Не полужирный"/>
    <w:basedOn w:val="CharStyle7"/>
    <w:rPr>
      <w:lang w:val="ru-RU" w:eastAsia="ru-RU" w:bidi="ru-RU"/>
      <w:b/>
      <w:bCs/>
      <w:sz w:val="17"/>
      <w:szCs w:val="17"/>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3">
    <w:name w:val="Заголовок №1_"/>
    <w:basedOn w:val="DefaultParagraphFont"/>
    <w:link w:val="Style22"/>
    <w:rPr>
      <w:b/>
      <w:bCs/>
      <w:i w:val="0"/>
      <w:iCs w:val="0"/>
      <w:u w:val="none"/>
      <w:strike w:val="0"/>
      <w:smallCaps w:val="0"/>
      <w:sz w:val="32"/>
      <w:szCs w:val="32"/>
      <w:rFonts w:ascii="Times New Roman" w:eastAsia="Times New Roman" w:hAnsi="Times New Roman" w:cs="Times New Roman"/>
      <w:spacing w:val="40"/>
    </w:rPr>
  </w:style>
  <w:style w:type="character" w:customStyle="1" w:styleId="CharStyle25">
    <w:name w:val="Основной текст (6)_"/>
    <w:basedOn w:val="DefaultParagraphFont"/>
    <w:link w:val="Style24"/>
    <w:rPr>
      <w:b w:val="0"/>
      <w:bCs w:val="0"/>
      <w:i/>
      <w:iCs/>
      <w:u w:val="none"/>
      <w:strike w:val="0"/>
      <w:smallCaps w:val="0"/>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b/>
      <w:bCs/>
      <w:i/>
      <w:iCs/>
      <w:u w:val="none"/>
      <w:strike w:val="0"/>
      <w:smallCaps w:val="0"/>
      <w:sz w:val="28"/>
      <w:szCs w:val="28"/>
      <w:rFonts w:ascii="Times New Roman" w:eastAsia="Times New Roman" w:hAnsi="Times New Roman" w:cs="Times New Roman"/>
    </w:rPr>
  </w:style>
  <w:style w:type="paragraph" w:customStyle="1" w:styleId="Style5">
    <w:name w:val="Основной текст (2)"/>
    <w:basedOn w:val="Normal"/>
    <w:link w:val="CharStyle7"/>
    <w:pPr>
      <w:widowControl w:val="0"/>
      <w:shd w:val="clear" w:color="auto" w:fill="FFFFFF"/>
      <w:jc w:val="center"/>
      <w:spacing w:before="360" w:after="480" w:line="221" w:lineRule="exact"/>
    </w:pPr>
    <w:rPr>
      <w:b/>
      <w:bCs/>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480" w:line="0" w:lineRule="exact"/>
    </w:pPr>
    <w:rPr>
      <w:b/>
      <w:bCs/>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173"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outlineLvl w:val="1"/>
      <w:spacing w:before="180" w:after="360" w:line="0" w:lineRule="exact"/>
    </w:pPr>
    <w:rPr>
      <w:b w:val="0"/>
      <w:bCs w:val="0"/>
      <w:i/>
      <w:iCs/>
      <w:u w:val="none"/>
      <w:strike w:val="0"/>
      <w:smallCaps w:val="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outlineLvl w:val="0"/>
      <w:spacing w:line="0" w:lineRule="exact"/>
    </w:pPr>
    <w:rPr>
      <w:b/>
      <w:bCs/>
      <w:i w:val="0"/>
      <w:iCs w:val="0"/>
      <w:u w:val="none"/>
      <w:strike w:val="0"/>
      <w:smallCaps w:val="0"/>
      <w:sz w:val="32"/>
      <w:szCs w:val="32"/>
      <w:rFonts w:ascii="Times New Roman" w:eastAsia="Times New Roman" w:hAnsi="Times New Roman" w:cs="Times New Roman"/>
      <w:spacing w:val="40"/>
    </w:rPr>
  </w:style>
  <w:style w:type="paragraph" w:customStyle="1" w:styleId="Style24">
    <w:name w:val="Основной текст (6)"/>
    <w:basedOn w:val="Normal"/>
    <w:link w:val="CharStyle25"/>
    <w:pPr>
      <w:widowControl w:val="0"/>
      <w:shd w:val="clear" w:color="auto" w:fill="FFFFFF"/>
      <w:jc w:val="both"/>
      <w:spacing w:before="360" w:after="600" w:line="302"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