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76"/>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0" w:line="264" w:lineRule="exact"/>
        <w:ind w:left="0" w:right="0" w:firstLine="0"/>
      </w:pPr>
      <w:r>
        <w:rPr>
          <w:rStyle w:val="CharStyle5"/>
        </w:rPr>
        <w:t>УПРАВЛЕНИЕ Федеральной антимонопольной службы но Республике Татарстан</w:t>
      </w:r>
    </w:p>
    <w:p>
      <w:pPr>
        <w:pStyle w:val="Style3"/>
        <w:widowControl w:val="0"/>
        <w:keepNext w:val="0"/>
        <w:keepLines w:val="0"/>
        <w:shd w:val="clear" w:color="auto" w:fill="auto"/>
        <w:bidi w:val="0"/>
        <w:spacing w:before="0" w:after="236"/>
        <w:ind w:left="0" w:right="0" w:firstLine="0"/>
      </w:pPr>
      <w:r>
        <w:rPr>
          <w:rStyle w:val="CharStyle5"/>
        </w:rPr>
        <w:t>МОНОПОЛИЯГЭКАРШ ы ФЕДЕРАЛЬ ХЕЗМЭТ</w:t>
      </w:r>
    </w:p>
    <w:p>
      <w:pPr>
        <w:pStyle w:val="Style3"/>
        <w:widowControl w:val="0"/>
        <w:keepNext w:val="0"/>
        <w:keepLines w:val="0"/>
        <w:shd w:val="clear" w:color="auto" w:fill="auto"/>
        <w:bidi w:val="0"/>
        <w:jc w:val="left"/>
        <w:spacing w:before="0" w:after="0" w:line="264" w:lineRule="exact"/>
        <w:ind w:left="140" w:right="120" w:firstLine="200"/>
        <w:sectPr>
          <w:footnotePr>
            <w:pos w:val="pageBottom"/>
            <w:numFmt w:val="decimal"/>
            <w:numRestart w:val="continuous"/>
          </w:footnotePr>
          <w:type w:val="continuous"/>
          <w:pgSz w:w="11906" w:h="16838"/>
          <w:pgMar w:top="432" w:left="1064" w:right="1837" w:bottom="403" w:header="0" w:footer="3" w:gutter="0"/>
          <w:rtlGutter w:val="0"/>
          <w:cols w:num="2" w:space="720" w:equalWidth="0">
            <w:col w:w="3864" w:space="2112"/>
            <w:col w:w="3029"/>
          </w:cols>
          <w:noEndnote/>
          <w:docGrid w:linePitch="360"/>
        </w:sectPr>
      </w:pPr>
      <w:r>
        <w:rPr>
          <w:rStyle w:val="CharStyle5"/>
        </w:rPr>
        <w:t>Монополиягэ карты Федераль хезмэтнен Татарстан Республикасы буенча идарэсе</w:t>
      </w: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38"/>
        <w:ind w:left="0" w:right="0" w:firstLine="0"/>
      </w:pPr>
      <w:r>
        <w:rPr>
          <w:rStyle w:val="CharStyle8"/>
        </w:rPr>
        <w:t xml:space="preserve">ул. Московская, д. 55. г. Казань. 420021 тел.: (843) 230-80-22. факс (843) 238-19-46 </w:t>
      </w:r>
      <w:r>
        <w:rPr>
          <w:rStyle w:val="CharStyle8"/>
          <w:lang w:val="en-US" w:eastAsia="en-US" w:bidi="en-US"/>
        </w:rPr>
        <w:t>e-mail: to</w:t>
      </w:r>
      <w:r>
        <w:rPr>
          <w:rStyle w:val="CharStyle8"/>
        </w:rPr>
        <w:t>I</w:t>
      </w:r>
      <w:r>
        <w:rPr>
          <w:rStyle w:val="CharStyle9"/>
        </w:rPr>
        <w:t>Ь(ц</w:t>
      </w:r>
      <w:r>
        <w:rPr>
          <w:rStyle w:val="CharStyle8"/>
        </w:rPr>
        <w:t xml:space="preserve"> </w:t>
      </w:r>
      <w:r>
        <w:rPr>
          <w:rStyle w:val="CharStyle8"/>
          <w:lang w:val="en-US" w:eastAsia="en-US" w:bidi="en-US"/>
        </w:rPr>
        <w:t>fas.gov.ru</w:t>
      </w:r>
    </w:p>
    <w:p>
      <w:pPr>
        <w:pStyle w:val="Style10"/>
        <w:widowControl w:val="0"/>
        <w:keepNext/>
        <w:keepLines/>
        <w:shd w:val="clear" w:color="auto" w:fill="auto"/>
        <w:bidi w:val="0"/>
        <w:jc w:val="left"/>
        <w:spacing w:before="0" w:after="0" w:line="260" w:lineRule="exact"/>
        <w:ind w:left="340" w:right="0" w:firstLine="0"/>
      </w:pPr>
      <w:bookmarkStart w:id="0" w:name="bookmark0"/>
      <w:r>
        <w:rPr>
          <w:rStyle w:val="CharStyle12"/>
        </w:rPr>
        <w:t xml:space="preserve">И. </w:t>
      </w:r>
      <w:r>
        <w:rPr>
          <w:rStyle w:val="CharStyle13"/>
        </w:rPr>
        <w:t>L&amp;l?-</w:t>
      </w:r>
      <w:r>
        <w:rPr>
          <w:rStyle w:val="CharStyle12"/>
          <w:lang w:val="en-US" w:eastAsia="en-US" w:bidi="en-US"/>
        </w:rPr>
        <w:t xml:space="preserve"> </w:t>
      </w:r>
      <w:r>
        <w:rPr>
          <w:rStyle w:val="CharStyle14"/>
        </w:rPr>
        <w:t>№</w:t>
      </w:r>
      <w:bookmarkEnd w:id="0"/>
    </w:p>
    <w:p>
      <w:pPr>
        <w:pStyle w:val="Style6"/>
        <w:widowControl w:val="0"/>
        <w:keepNext w:val="0"/>
        <w:keepLines w:val="0"/>
        <w:shd w:val="clear" w:color="auto" w:fill="auto"/>
        <w:bidi w:val="0"/>
        <w:spacing w:before="0" w:after="0"/>
        <w:ind w:left="0" w:right="0" w:firstLine="0"/>
        <w:sectPr>
          <w:type w:val="continuous"/>
          <w:pgSz w:w="11906" w:h="16838"/>
          <w:pgMar w:top="432" w:left="1558" w:right="1875" w:bottom="403" w:header="0" w:footer="3" w:gutter="0"/>
          <w:rtlGutter w:val="0"/>
          <w:cols w:num="2" w:space="2683"/>
          <w:noEndnote/>
          <w:docGrid w:linePitch="360"/>
        </w:sectPr>
      </w:pPr>
      <w:r>
        <w:rPr>
          <w:rStyle w:val="CharStyle8"/>
        </w:rPr>
        <w:t xml:space="preserve">Мэскэу ур.. 55 Порт, Казан шаЬэре.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10" w:wrap="around" w:vAnchor="text" w:hAnchor="margin" w:x="-4458" w:y="83"/>
        <w:widowControl w:val="0"/>
        <w:keepNext w:val="0"/>
        <w:keepLines w:val="0"/>
        <w:shd w:val="clear" w:color="auto" w:fill="auto"/>
        <w:bidi w:val="0"/>
        <w:jc w:val="left"/>
        <w:spacing w:before="0" w:after="0" w:line="210" w:lineRule="exact"/>
        <w:ind w:left="0" w:right="0" w:firstLine="0"/>
      </w:pPr>
      <w:r>
        <w:rPr>
          <w:rStyle w:val="CharStyle17"/>
          <w:spacing w:val="20"/>
        </w:rPr>
        <w:t>На№</w:t>
      </w:r>
    </w:p>
    <w:p>
      <w:pPr>
        <w:pStyle w:val="Style18"/>
        <w:framePr w:h="180" w:wrap="around" w:vAnchor="text" w:hAnchor="margin" w:x="-2812" w:y="102"/>
        <w:widowControl w:val="0"/>
        <w:keepNext w:val="0"/>
        <w:keepLines w:val="0"/>
        <w:shd w:val="clear" w:color="auto" w:fill="auto"/>
        <w:bidi w:val="0"/>
        <w:jc w:val="left"/>
        <w:spacing w:before="0" w:after="0" w:line="180" w:lineRule="exact"/>
        <w:ind w:left="0" w:right="0" w:firstLine="0"/>
      </w:pPr>
      <w:r>
        <w:rPr>
          <w:rStyle w:val="CharStyle20"/>
          <w:spacing w:val="0"/>
        </w:rPr>
        <w:t>от</w:t>
      </w:r>
    </w:p>
    <w:p>
      <w:pPr>
        <w:pStyle w:val="Style21"/>
        <w:widowControl w:val="0"/>
        <w:keepNext w:val="0"/>
        <w:keepLines w:val="0"/>
        <w:shd w:val="clear" w:color="auto" w:fill="auto"/>
        <w:bidi w:val="0"/>
        <w:jc w:val="left"/>
        <w:spacing w:before="0" w:after="0"/>
        <w:ind w:left="0" w:right="380" w:firstLine="0"/>
        <w:sectPr>
          <w:type w:val="continuous"/>
          <w:pgSz w:w="11906" w:h="16838"/>
          <w:pgMar w:top="432" w:left="5945" w:right="1025" w:bottom="403" w:header="0" w:footer="3" w:gutter="0"/>
          <w:rtlGutter w:val="0"/>
          <w:cols w:space="720"/>
          <w:noEndnote/>
          <w:docGrid w:linePitch="360"/>
        </w:sectPr>
      </w:pPr>
      <w:r>
        <w:rPr>
          <w:lang w:val="ru-RU" w:eastAsia="ru-RU" w:bidi="ru-RU"/>
          <w:sz w:val="24"/>
          <w:szCs w:val="24"/>
          <w:w w:val="100"/>
          <w:spacing w:val="0"/>
          <w:color w:val="000000"/>
          <w:position w:val="0"/>
        </w:rPr>
        <w:t>Уполномоченный орган: Государственный комитет Республики Татарстан по закупкам</w:t>
      </w: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312" w:lineRule="exact"/>
        <w:ind w:left="5360" w:right="0" w:firstLine="0"/>
      </w:pPr>
      <w:r>
        <w:rPr>
          <w:lang w:val="ru-RU" w:eastAsia="ru-RU" w:bidi="ru-RU"/>
          <w:sz w:val="24"/>
          <w:szCs w:val="24"/>
          <w:w w:val="100"/>
          <w:spacing w:val="0"/>
          <w:color w:val="000000"/>
          <w:position w:val="0"/>
        </w:rPr>
        <w:t>Заказчик:</w:t>
      </w:r>
    </w:p>
    <w:p>
      <w:pPr>
        <w:pStyle w:val="Style21"/>
        <w:widowControl w:val="0"/>
        <w:keepNext w:val="0"/>
        <w:keepLines w:val="0"/>
        <w:shd w:val="clear" w:color="auto" w:fill="auto"/>
        <w:bidi w:val="0"/>
        <w:jc w:val="left"/>
        <w:spacing w:before="0" w:after="236" w:line="312" w:lineRule="exact"/>
        <w:ind w:left="5360" w:right="940" w:firstLine="0"/>
      </w:pPr>
      <w:r>
        <w:rPr>
          <w:lang w:val="ru-RU" w:eastAsia="ru-RU" w:bidi="ru-RU"/>
          <w:sz w:val="24"/>
          <w:szCs w:val="24"/>
          <w:w w:val="100"/>
          <w:spacing w:val="0"/>
          <w:color w:val="000000"/>
          <w:position w:val="0"/>
        </w:rPr>
        <w:t>ГАУЗ «Республиканская клиническая психиатрическая больница им. Акад. В.М. Бехтерева Министерства здравоохранения Республики Татарстан»</w:t>
      </w:r>
    </w:p>
    <w:p>
      <w:pPr>
        <w:pStyle w:val="Style21"/>
        <w:widowControl w:val="0"/>
        <w:keepNext w:val="0"/>
        <w:keepLines w:val="0"/>
        <w:shd w:val="clear" w:color="auto" w:fill="auto"/>
        <w:bidi w:val="0"/>
        <w:jc w:val="left"/>
        <w:spacing w:before="0" w:after="0"/>
        <w:ind w:left="5360" w:right="0" w:firstLine="0"/>
      </w:pPr>
      <w:r>
        <w:rPr>
          <w:lang w:val="ru-RU" w:eastAsia="ru-RU" w:bidi="ru-RU"/>
          <w:sz w:val="24"/>
          <w:szCs w:val="24"/>
          <w:w w:val="100"/>
          <w:spacing w:val="0"/>
          <w:color w:val="000000"/>
          <w:position w:val="0"/>
        </w:rPr>
        <w:t>Заявитель:</w:t>
      </w:r>
    </w:p>
    <w:p>
      <w:pPr>
        <w:pStyle w:val="Style21"/>
        <w:widowControl w:val="0"/>
        <w:keepNext w:val="0"/>
        <w:keepLines w:val="0"/>
        <w:shd w:val="clear" w:color="auto" w:fill="auto"/>
        <w:bidi w:val="0"/>
        <w:jc w:val="left"/>
        <w:spacing w:before="0" w:after="0"/>
        <w:ind w:left="5360" w:right="0" w:firstLine="0"/>
      </w:pPr>
      <w:r>
        <w:rPr>
          <w:lang w:val="ru-RU" w:eastAsia="ru-RU" w:bidi="ru-RU"/>
          <w:sz w:val="24"/>
          <w:szCs w:val="24"/>
          <w:w w:val="100"/>
          <w:spacing w:val="0"/>
          <w:color w:val="000000"/>
          <w:position w:val="0"/>
        </w:rPr>
        <w:t>ООО «РТЦ Мастер»</w:t>
      </w:r>
    </w:p>
    <w:p>
      <w:pPr>
        <w:pStyle w:val="Style21"/>
        <w:widowControl w:val="0"/>
        <w:keepNext w:val="0"/>
        <w:keepLines w:val="0"/>
        <w:shd w:val="clear" w:color="auto" w:fill="auto"/>
        <w:bidi w:val="0"/>
        <w:jc w:val="left"/>
        <w:spacing w:before="0" w:after="240"/>
        <w:ind w:left="5360" w:right="0" w:firstLine="0"/>
      </w:pPr>
      <w:r>
        <w:fldChar w:fldCharType="begin"/>
      </w:r>
      <w:r>
        <w:rPr>
          <w:color w:val="000000"/>
        </w:rPr>
        <w:instrText> HYPERLINK "mailto:Julia@kori.ru" </w:instrText>
      </w:r>
      <w:r>
        <w:fldChar w:fldCharType="separate"/>
      </w:r>
      <w:r>
        <w:rPr>
          <w:rStyle w:val="Hyperlink"/>
          <w:lang w:val="en-US" w:eastAsia="en-US" w:bidi="en-US"/>
          <w:sz w:val="24"/>
          <w:szCs w:val="24"/>
          <w:w w:val="100"/>
          <w:spacing w:val="0"/>
          <w:position w:val="0"/>
        </w:rPr>
        <w:t>Julia@kori.ru</w:t>
      </w:r>
      <w:r>
        <w:fldChar w:fldCharType="end"/>
      </w:r>
    </w:p>
    <w:p>
      <w:pPr>
        <w:pStyle w:val="Style21"/>
        <w:widowControl w:val="0"/>
        <w:keepNext w:val="0"/>
        <w:keepLines w:val="0"/>
        <w:shd w:val="clear" w:color="auto" w:fill="auto"/>
        <w:bidi w:val="0"/>
        <w:jc w:val="left"/>
        <w:spacing w:before="0" w:after="302"/>
        <w:ind w:left="940" w:right="1500" w:firstLine="1680"/>
      </w:pPr>
      <w:r>
        <w:rPr>
          <w:rStyle w:val="CharStyle23"/>
        </w:rPr>
        <w:t>РЕШЕНИЕ</w:t>
      </w:r>
      <w:r>
        <w:rPr>
          <w:lang w:val="ru-RU" w:eastAsia="ru-RU" w:bidi="ru-RU"/>
          <w:sz w:val="24"/>
          <w:szCs w:val="24"/>
          <w:w w:val="100"/>
          <w:spacing w:val="0"/>
          <w:color w:val="000000"/>
          <w:position w:val="0"/>
        </w:rPr>
        <w:t xml:space="preserve"> по делу № 543-кз/2017 о нарушении законодательства в сфере закупок товаров, работ, услуг для обеспечения государственных и муниципальных нужд</w:t>
      </w:r>
    </w:p>
    <w:p>
      <w:pPr>
        <w:pStyle w:val="Style21"/>
        <w:tabs>
          <w:tab w:leader="none" w:pos="8737" w:val="right"/>
          <w:tab w:leader="none" w:pos="9639" w:val="right"/>
        </w:tabs>
        <w:widowControl w:val="0"/>
        <w:keepNext w:val="0"/>
        <w:keepLines w:val="0"/>
        <w:shd w:val="clear" w:color="auto" w:fill="auto"/>
        <w:bidi w:val="0"/>
        <w:jc w:val="both"/>
        <w:spacing w:before="0" w:after="306" w:line="240" w:lineRule="exact"/>
        <w:ind w:left="20" w:right="0" w:firstLine="0"/>
      </w:pPr>
      <w:r>
        <w:rPr>
          <w:lang w:val="ru-RU" w:eastAsia="ru-RU" w:bidi="ru-RU"/>
          <w:sz w:val="24"/>
          <w:szCs w:val="24"/>
          <w:w w:val="100"/>
          <w:spacing w:val="0"/>
          <w:color w:val="000000"/>
          <w:position w:val="0"/>
        </w:rPr>
        <w:t>7 ноября 2017 года</w:t>
        <w:tab/>
        <w:t>г.</w:t>
        <w:tab/>
        <w:t>Казань</w:t>
      </w:r>
    </w:p>
    <w:p>
      <w:pPr>
        <w:pStyle w:val="Style21"/>
        <w:widowControl w:val="0"/>
        <w:keepNext w:val="0"/>
        <w:keepLines w:val="0"/>
        <w:shd w:val="clear" w:color="auto" w:fill="auto"/>
        <w:bidi w:val="0"/>
        <w:jc w:val="both"/>
        <w:spacing w:before="0" w:after="0"/>
        <w:ind w:left="20" w:right="520" w:firstLine="540"/>
      </w:pPr>
      <w:r>
        <w:rPr>
          <w:lang w:val="ru-RU" w:eastAsia="ru-RU" w:bidi="ru-RU"/>
          <w:sz w:val="24"/>
          <w:szCs w:val="24"/>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1"/>
        <w:tabs>
          <w:tab w:leader="none" w:pos="10146" w:val="right"/>
          <w:tab w:leader="none" w:pos="10089" w:val="right"/>
        </w:tabs>
        <w:widowControl w:val="0"/>
        <w:keepNext w:val="0"/>
        <w:keepLines w:val="0"/>
        <w:shd w:val="clear" w:color="auto" w:fill="auto"/>
        <w:bidi w:val="0"/>
        <w:jc w:val="both"/>
        <w:spacing w:before="0" w:after="0"/>
        <w:ind w:left="820" w:right="0" w:firstLine="0"/>
      </w:pPr>
      <w:r>
        <w:rPr>
          <w:lang w:val="ru-RU" w:eastAsia="ru-RU" w:bidi="ru-RU"/>
          <w:sz w:val="24"/>
          <w:szCs w:val="24"/>
          <w:w w:val="100"/>
          <w:spacing w:val="0"/>
          <w:color w:val="000000"/>
          <w:position w:val="0"/>
        </w:rPr>
        <w:t>Зам. председателя Комиссии:</w:t>
        <w:tab/>
        <w:t>Яфизова</w:t>
        <w:tab/>
        <w:t>А.А. - начальника</w:t>
      </w:r>
    </w:p>
    <w:p>
      <w:pPr>
        <w:pStyle w:val="Style21"/>
        <w:widowControl w:val="0"/>
        <w:keepNext w:val="0"/>
        <w:keepLines w:val="0"/>
        <w:shd w:val="clear" w:color="auto" w:fill="auto"/>
        <w:bidi w:val="0"/>
        <w:jc w:val="left"/>
        <w:spacing w:before="0" w:after="0"/>
        <w:ind w:left="5940" w:right="0" w:firstLine="0"/>
      </w:pPr>
      <w:r>
        <w:rPr>
          <w:lang w:val="ru-RU" w:eastAsia="ru-RU" w:bidi="ru-RU"/>
          <w:sz w:val="24"/>
          <w:szCs w:val="24"/>
          <w:w w:val="100"/>
          <w:spacing w:val="0"/>
          <w:color w:val="000000"/>
          <w:position w:val="0"/>
        </w:rPr>
        <w:t>отдела,</w:t>
      </w:r>
    </w:p>
    <w:p>
      <w:pPr>
        <w:pStyle w:val="Style21"/>
        <w:tabs>
          <w:tab w:leader="none" w:pos="6964" w:val="right"/>
          <w:tab w:leader="none" w:pos="10146" w:val="right"/>
        </w:tabs>
        <w:widowControl w:val="0"/>
        <w:keepNext w:val="0"/>
        <w:keepLines w:val="0"/>
        <w:shd w:val="clear" w:color="auto" w:fill="auto"/>
        <w:bidi w:val="0"/>
        <w:jc w:val="both"/>
        <w:spacing w:before="0" w:after="0"/>
        <w:ind w:left="820" w:right="0" w:firstLine="0"/>
      </w:pPr>
      <w:r>
        <w:rPr>
          <w:lang w:val="ru-RU" w:eastAsia="ru-RU" w:bidi="ru-RU"/>
          <w:sz w:val="24"/>
          <w:szCs w:val="24"/>
          <w:w w:val="100"/>
          <w:spacing w:val="0"/>
          <w:color w:val="000000"/>
          <w:position w:val="0"/>
        </w:rPr>
        <w:t>Членов Комиссии:</w:t>
        <w:tab/>
        <w:t>Заляевой</w:t>
        <w:tab/>
        <w:t>Д.Р.- ведущего</w:t>
      </w:r>
    </w:p>
    <w:p>
      <w:pPr>
        <w:pStyle w:val="Style21"/>
        <w:widowControl w:val="0"/>
        <w:keepNext w:val="0"/>
        <w:keepLines w:val="0"/>
        <w:shd w:val="clear" w:color="auto" w:fill="auto"/>
        <w:bidi w:val="0"/>
        <w:jc w:val="left"/>
        <w:spacing w:before="0" w:after="0"/>
        <w:ind w:left="5940" w:right="0" w:firstLine="0"/>
      </w:pPr>
      <w:r>
        <w:rPr>
          <w:lang w:val="ru-RU" w:eastAsia="ru-RU" w:bidi="ru-RU"/>
          <w:sz w:val="24"/>
          <w:szCs w:val="24"/>
          <w:w w:val="100"/>
          <w:spacing w:val="0"/>
          <w:color w:val="000000"/>
          <w:position w:val="0"/>
        </w:rPr>
        <w:t>специалиста-эксперта,</w:t>
      </w:r>
    </w:p>
    <w:p>
      <w:pPr>
        <w:pStyle w:val="Style21"/>
        <w:widowControl w:val="0"/>
        <w:keepNext w:val="0"/>
        <w:keepLines w:val="0"/>
        <w:shd w:val="clear" w:color="auto" w:fill="auto"/>
        <w:bidi w:val="0"/>
        <w:jc w:val="left"/>
        <w:spacing w:before="0" w:after="0"/>
        <w:ind w:left="5940" w:right="620" w:firstLine="0"/>
      </w:pPr>
      <w:r>
        <w:rPr>
          <w:lang w:val="ru-RU" w:eastAsia="ru-RU" w:bidi="ru-RU"/>
          <w:sz w:val="24"/>
          <w:szCs w:val="24"/>
          <w:w w:val="100"/>
          <w:spacing w:val="0"/>
          <w:color w:val="000000"/>
          <w:position w:val="0"/>
        </w:rPr>
        <w:t>Закировой А.Р. - специалиста- эксперта,</w:t>
      </w:r>
    </w:p>
    <w:p>
      <w:pPr>
        <w:pStyle w:val="Style21"/>
        <w:tabs>
          <w:tab w:leader="none" w:pos="10146" w:val="right"/>
        </w:tabs>
        <w:widowControl w:val="0"/>
        <w:keepNext w:val="0"/>
        <w:keepLines w:val="0"/>
        <w:shd w:val="clear" w:color="auto" w:fill="auto"/>
        <w:bidi w:val="0"/>
        <w:jc w:val="left"/>
        <w:spacing w:before="0" w:after="0"/>
        <w:ind w:left="20" w:right="520" w:firstLine="700"/>
      </w:pPr>
      <w:r>
        <w:rPr>
          <w:lang w:val="ru-RU" w:eastAsia="ru-RU" w:bidi="ru-RU"/>
          <w:sz w:val="24"/>
          <w:szCs w:val="24"/>
          <w:w w:val="100"/>
          <w:spacing w:val="0"/>
          <w:color w:val="000000"/>
          <w:position w:val="0"/>
        </w:rPr>
        <w:t>в присутствии представителя уполномоченного органа - Государственный комитет Республики Татарстан по закупкам</w:t>
        <w:tab/>
        <w:t>- Камалетдинова Д. М. (доверенность от</w:t>
      </w:r>
    </w:p>
    <w:p>
      <w:pPr>
        <w:pStyle w:val="Style21"/>
        <w:tabs>
          <w:tab w:leader="none" w:pos="1719" w:val="left"/>
          <w:tab w:leader="none" w:pos="2338" w:val="left"/>
          <w:tab w:leader="none" w:pos="10146" w:val="righ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02.05.2017г.</w:t>
        <w:tab/>
        <w:t>.№</w:t>
        <w:tab/>
        <w:t>12/17), в отсутствии</w:t>
        <w:tab/>
        <w:t>представителей заказчика - ГАУЗ</w:t>
      </w:r>
    </w:p>
    <w:p>
      <w:pPr>
        <w:pStyle w:val="Style21"/>
        <w:widowControl w:val="0"/>
        <w:keepNext w:val="0"/>
        <w:keepLines w:val="0"/>
        <w:shd w:val="clear" w:color="auto" w:fill="auto"/>
        <w:bidi w:val="0"/>
        <w:jc w:val="left"/>
        <w:spacing w:before="0" w:after="302"/>
        <w:ind w:left="20" w:right="520" w:firstLine="0"/>
      </w:pPr>
      <w:r>
        <w:rPr>
          <w:lang w:val="ru-RU" w:eastAsia="ru-RU" w:bidi="ru-RU"/>
          <w:sz w:val="24"/>
          <w:szCs w:val="24"/>
          <w:w w:val="100"/>
          <w:spacing w:val="0"/>
          <w:color w:val="000000"/>
          <w:position w:val="0"/>
        </w:rPr>
        <w:t>«Республиканская клиническая психиатрическая больница им. Акад. В.М. Бехтерева Министерства здравоохранения Республики Татарстан», о времени и месте</w:t>
      </w:r>
    </w:p>
    <w:p>
      <w:pPr>
        <w:pStyle w:val="Style24"/>
        <w:widowControl w:val="0"/>
        <w:keepNext w:val="0"/>
        <w:keepLines w:val="0"/>
        <w:shd w:val="clear" w:color="auto" w:fill="auto"/>
        <w:bidi w:val="0"/>
        <w:spacing w:before="0" w:after="0" w:line="240" w:lineRule="exact"/>
        <w:ind w:left="0" w:right="200" w:firstLine="0"/>
      </w:pPr>
      <w:r>
        <w:rPr>
          <w:lang w:val="ru-RU" w:eastAsia="ru-RU" w:bidi="ru-RU"/>
          <w:sz w:val="24"/>
          <w:szCs w:val="24"/>
          <w:w w:val="100"/>
          <w:color w:val="000000"/>
          <w:position w:val="0"/>
        </w:rPr>
        <w:t>138911</w:t>
      </w:r>
      <w:r>
        <w:br w:type="page"/>
      </w:r>
    </w:p>
    <w:p>
      <w:pPr>
        <w:pStyle w:val="Style21"/>
        <w:widowControl w:val="0"/>
        <w:keepNext w:val="0"/>
        <w:keepLines w:val="0"/>
        <w:shd w:val="clear" w:color="auto" w:fill="auto"/>
        <w:bidi w:val="0"/>
        <w:jc w:val="both"/>
        <w:spacing w:before="0" w:after="362"/>
        <w:ind w:left="40" w:right="40" w:firstLine="0"/>
      </w:pPr>
      <w:r>
        <w:rPr>
          <w:lang w:val="ru-RU" w:eastAsia="ru-RU" w:bidi="ru-RU"/>
          <w:sz w:val="24"/>
          <w:szCs w:val="24"/>
          <w:w w:val="100"/>
          <w:spacing w:val="0"/>
          <w:color w:val="000000"/>
          <w:position w:val="0"/>
        </w:rPr>
        <w:t>рассмотрения жалобы уведомленного надлежащим образом, в присутствии представителя заявителя - Сергеева М.С. (директор ООО «РТЦ Мастер», рассмотрев жалобуООО «РТЦ Мастер»на действияуполномоченного органа - Государственный комитет Республики Татарстан по закупкам,заказчика -ГАУЗ «Республиканская клиническая психиатрическая больница им. Акад. В.М. Бехтерева Министерства здравоохранения Республики Татарстан»при проведении электронного аукциона № 0111200000917000799 на предмет: «Право заключения гражданско-правового договора на поставку оргтехники для нужд автономного учреждения Республики Татарстан»,</w:t>
      </w:r>
    </w:p>
    <w:p>
      <w:pPr>
        <w:pStyle w:val="Style21"/>
        <w:widowControl w:val="0"/>
        <w:keepNext w:val="0"/>
        <w:keepLines w:val="0"/>
        <w:shd w:val="clear" w:color="auto" w:fill="auto"/>
        <w:bidi w:val="0"/>
        <w:jc w:val="left"/>
        <w:spacing w:before="0" w:after="319" w:line="240" w:lineRule="exact"/>
        <w:ind w:left="4140" w:right="0" w:firstLine="0"/>
      </w:pPr>
      <w:r>
        <w:rPr>
          <w:rStyle w:val="CharStyle23"/>
        </w:rPr>
        <w:t>УСТАНОВИЛА:</w:t>
      </w:r>
    </w:p>
    <w:p>
      <w:pPr>
        <w:pStyle w:val="Style21"/>
        <w:widowControl w:val="0"/>
        <w:keepNext w:val="0"/>
        <w:keepLines w:val="0"/>
        <w:shd w:val="clear" w:color="auto" w:fill="auto"/>
        <w:bidi w:val="0"/>
        <w:jc w:val="both"/>
        <w:spacing w:before="0" w:after="0" w:line="312" w:lineRule="exact"/>
        <w:ind w:left="40" w:right="40" w:firstLine="720"/>
      </w:pPr>
      <w:r>
        <w:rPr>
          <w:lang w:val="ru-RU" w:eastAsia="ru-RU" w:bidi="ru-RU"/>
          <w:sz w:val="24"/>
          <w:szCs w:val="24"/>
          <w:w w:val="100"/>
          <w:spacing w:val="0"/>
          <w:color w:val="000000"/>
          <w:position w:val="0"/>
        </w:rPr>
        <w:t xml:space="preserve">Изменение извещения о проведении электронного аукциона № 0111200000917000799, размещено на официальном сайте Российской Федерации </w:t>
      </w:r>
      <w:r>
        <w:rPr>
          <w:rStyle w:val="CharStyle26"/>
        </w:rPr>
        <w:t>http ://etp</w:t>
      </w:r>
      <w:r>
        <w:rPr>
          <w:rStyle w:val="CharStyle26"/>
          <w:lang w:val="ru-RU" w:eastAsia="ru-RU" w:bidi="ru-RU"/>
        </w:rPr>
        <w:t xml:space="preserve">. </w:t>
      </w:r>
      <w:r>
        <w:rPr>
          <w:rStyle w:val="CharStyle26"/>
        </w:rPr>
        <w:t>zakazrf.ru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13.10.2017г.</w:t>
      </w:r>
    </w:p>
    <w:p>
      <w:pPr>
        <w:pStyle w:val="Style21"/>
        <w:widowControl w:val="0"/>
        <w:keepNext w:val="0"/>
        <w:keepLines w:val="0"/>
        <w:shd w:val="clear" w:color="auto" w:fill="auto"/>
        <w:bidi w:val="0"/>
        <w:jc w:val="both"/>
        <w:spacing w:before="0" w:after="0" w:line="312" w:lineRule="exact"/>
        <w:ind w:left="40" w:right="40" w:firstLine="720"/>
      </w:pPr>
      <w:r>
        <w:rPr>
          <w:lang w:val="ru-RU" w:eastAsia="ru-RU" w:bidi="ru-RU"/>
          <w:sz w:val="24"/>
          <w:szCs w:val="24"/>
          <w:w w:val="100"/>
          <w:spacing w:val="0"/>
          <w:color w:val="000000"/>
          <w:position w:val="0"/>
        </w:rPr>
        <w:t>Уполномоченный орган - Государственный комитет Республики Татарстан по закупкам.</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Заказчик - ГАУЗ «Республиканская клиническая психиатрическая больница им. Акад. В.М. Бехтерева Министерства здравоохранения Республики Татарстан».</w:t>
      </w:r>
    </w:p>
    <w:p>
      <w:pPr>
        <w:pStyle w:val="Style21"/>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Начальная (максимальная) цена контракта - 1 370 442 ,00руб.</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Суть жалобы, по мнению заявителя, закупка проводится с нарушением норм действующего законодательства.</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Согласно доводам заявителя, уполномоченным органом принято неправомерное решение об отказе в допуске к участию в электронном аукционе. Заявителем представлены конкретные показатели товара, соответствующие значению, установленному техническим заданием аукционной документации.</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Уполномоченный орган с доводами, представленными в жалобе,не согласился,представил устные и письменные пояснения.</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Согласно пояснениям уполномоченного органа, заявка заявителя (порядковый номер - 1) была отклонена от участия в электронном аукционе по следующим основаниям:</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части 4 «Техническое задание» аукционной документации заказчиком установлено требование к характеристикам необходимого к закупке товара:</w:t>
      </w:r>
    </w:p>
    <w:p>
      <w:pPr>
        <w:pStyle w:val="Style21"/>
        <w:numPr>
          <w:ilvl w:val="0"/>
          <w:numId w:val="1"/>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Подключение к городской сети по технологии </w:t>
      </w:r>
      <w:r>
        <w:rPr>
          <w:lang w:val="en-US" w:eastAsia="en-US" w:bidi="en-US"/>
          <w:sz w:val="24"/>
          <w:szCs w:val="24"/>
          <w:w w:val="100"/>
          <w:spacing w:val="0"/>
          <w:color w:val="000000"/>
          <w:position w:val="0"/>
        </w:rPr>
        <w:t xml:space="preserve">SIP, </w:t>
      </w:r>
      <w:r>
        <w:rPr>
          <w:lang w:val="ru-RU" w:eastAsia="ru-RU" w:bidi="ru-RU"/>
          <w:sz w:val="24"/>
          <w:szCs w:val="24"/>
          <w:w w:val="100"/>
          <w:spacing w:val="0"/>
          <w:color w:val="000000"/>
          <w:position w:val="0"/>
        </w:rPr>
        <w:t>НЕ МЕНЕЕ 15 каналов, НЕ МЕНЕЕ 45 городских номеров. НЕ МЕНЕЕ 10 внутренних цифровых абонентов с возможностью расширения емкости. НЕ МЕНЕЕ 144 внутренних аналоговых абонентов с возможностью расширения емкости. Работа на батареях НЕ МЕНЕЕ 3 часов. Возможность подключения НЕ МЕНЕЕ 25% аналоговых абонентов на расстоянии НЕ МЕНЕЕ 5000 метров. Возможность увеличения емкости внутренних цифровых абонентов.</w:t>
      </w:r>
    </w:p>
    <w:p>
      <w:pPr>
        <w:pStyle w:val="Style21"/>
        <w:numPr>
          <w:ilvl w:val="0"/>
          <w:numId w:val="1"/>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Аккумулятор. Герметизированный свинцово-кислотный аккумулятор. Диапазон рабочих температур от НЕ БОЛЕЕ -40 до НЕ МЕНЕЕ 60°С.* Предназначен для обеспечения резервного питания АТС на время </w:t>
      </w:r>
      <w:r>
        <w:rPr>
          <w:rStyle w:val="CharStyle27"/>
        </w:rPr>
        <w:t xml:space="preserve">НЕ МЕНЕЕ 3 часов. </w:t>
      </w:r>
      <w:r>
        <w:rPr>
          <w:lang w:val="ru-RU" w:eastAsia="ru-RU" w:bidi="ru-RU"/>
          <w:sz w:val="24"/>
          <w:szCs w:val="24"/>
          <w:w w:val="100"/>
          <w:spacing w:val="0"/>
          <w:color w:val="000000"/>
          <w:position w:val="0"/>
        </w:rPr>
        <w:t>Зарядка во время работы от блока питания АТС.</w:t>
      </w:r>
    </w:p>
    <w:p>
      <w:pPr>
        <w:pStyle w:val="Style21"/>
        <w:numPr>
          <w:ilvl w:val="0"/>
          <w:numId w:val="1"/>
        </w:numPr>
        <w:widowControl w:val="0"/>
        <w:keepNext w:val="0"/>
        <w:keepLines w:val="0"/>
        <w:shd w:val="clear" w:color="auto" w:fill="auto"/>
        <w:bidi w:val="0"/>
        <w:jc w:val="both"/>
        <w:spacing w:before="0" w:after="0" w:line="326" w:lineRule="exact"/>
        <w:ind w:left="40" w:right="40" w:firstLine="700"/>
      </w:pPr>
      <w:r>
        <w:rPr>
          <w:lang w:val="ru-RU" w:eastAsia="ru-RU" w:bidi="ru-RU"/>
          <w:sz w:val="24"/>
          <w:szCs w:val="24"/>
          <w:w w:val="100"/>
          <w:spacing w:val="0"/>
          <w:color w:val="000000"/>
          <w:position w:val="0"/>
        </w:rPr>
        <w:t xml:space="preserve"> Кабель резервного питания </w:t>
      </w:r>
      <w:r>
        <w:rPr>
          <w:lang w:val="en-US" w:eastAsia="en-US" w:bidi="en-US"/>
          <w:sz w:val="24"/>
          <w:szCs w:val="24"/>
          <w:w w:val="100"/>
          <w:spacing w:val="0"/>
          <w:color w:val="000000"/>
          <w:position w:val="0"/>
        </w:rPr>
        <w:t xml:space="preserve">KX-A229XJ </w:t>
      </w:r>
      <w:r>
        <w:rPr>
          <w:lang w:val="ru-RU" w:eastAsia="ru-RU" w:bidi="ru-RU"/>
          <w:sz w:val="24"/>
          <w:szCs w:val="24"/>
          <w:w w:val="100"/>
          <w:spacing w:val="0"/>
          <w:color w:val="000000"/>
          <w:position w:val="0"/>
        </w:rPr>
        <w:t>для 3-х аккумуляторов 12 В, емкостью 26</w:t>
      </w:r>
      <w:r>
        <w:rPr>
          <w:lang w:val="en-US" w:eastAsia="en-US" w:bidi="en-US"/>
          <w:sz w:val="24"/>
          <w:szCs w:val="24"/>
          <w:w w:val="100"/>
          <w:spacing w:val="0"/>
          <w:color w:val="000000"/>
          <w:position w:val="0"/>
        </w:rPr>
        <w:t>Ah.</w:t>
      </w:r>
    </w:p>
    <w:p>
      <w:pPr>
        <w:pStyle w:val="Style21"/>
        <w:numPr>
          <w:ilvl w:val="0"/>
          <w:numId w:val="1"/>
        </w:numPr>
        <w:widowControl w:val="0"/>
        <w:keepNext w:val="0"/>
        <w:keepLines w:val="0"/>
        <w:shd w:val="clear" w:color="auto" w:fill="auto"/>
        <w:bidi w:val="0"/>
        <w:jc w:val="both"/>
        <w:spacing w:before="0" w:after="0" w:line="326" w:lineRule="exact"/>
        <w:ind w:left="40" w:right="0" w:firstLine="700"/>
      </w:pPr>
      <w:r>
        <w:rPr>
          <w:lang w:val="ru-RU" w:eastAsia="ru-RU" w:bidi="ru-RU"/>
          <w:sz w:val="24"/>
          <w:szCs w:val="24"/>
          <w:w w:val="100"/>
          <w:spacing w:val="0"/>
          <w:color w:val="000000"/>
          <w:position w:val="0"/>
        </w:rPr>
        <w:t xml:space="preserve"> В позиции 7 «Аккумулятор» установлено требование «количество - 1</w:t>
      </w:r>
    </w:p>
    <w:p>
      <w:pPr>
        <w:pStyle w:val="Style28"/>
        <w:widowControl w:val="0"/>
        <w:keepNext/>
        <w:keepLines/>
        <w:shd w:val="clear" w:color="auto" w:fill="auto"/>
        <w:bidi w:val="0"/>
        <w:jc w:val="left"/>
        <w:spacing w:before="0" w:after="0"/>
        <w:ind w:left="40" w:right="0" w:firstLine="0"/>
      </w:pPr>
      <w:bookmarkStart w:id="1" w:name="bookmark1"/>
      <w:r>
        <w:rPr>
          <w:lang w:val="ru-RU" w:eastAsia="ru-RU" w:bidi="ru-RU"/>
          <w:sz w:val="24"/>
          <w:szCs w:val="24"/>
          <w:w w:val="100"/>
          <w:color w:val="000000"/>
          <w:position w:val="0"/>
        </w:rPr>
        <w:t>шт».</w:t>
      </w:r>
      <w:bookmarkEnd w:id="1"/>
    </w:p>
    <w:p>
      <w:pPr>
        <w:pStyle w:val="Style21"/>
        <w:widowControl w:val="0"/>
        <w:keepNext w:val="0"/>
        <w:keepLines w:val="0"/>
        <w:shd w:val="clear" w:color="auto" w:fill="auto"/>
        <w:bidi w:val="0"/>
        <w:jc w:val="both"/>
        <w:spacing w:before="0" w:after="0" w:line="326" w:lineRule="exact"/>
        <w:ind w:left="40" w:right="40" w:firstLine="700"/>
      </w:pPr>
      <w:r>
        <w:rPr>
          <w:lang w:val="ru-RU" w:eastAsia="ru-RU" w:bidi="ru-RU"/>
          <w:sz w:val="24"/>
          <w:szCs w:val="24"/>
          <w:w w:val="100"/>
          <w:spacing w:val="0"/>
          <w:color w:val="000000"/>
          <w:position w:val="0"/>
        </w:rPr>
        <w:t xml:space="preserve">Участником в первой части заявки на участие не указано конкретных показателей по пунктам 1 и 2 и указаны показатели, не соответствующие значениям, </w:t>
      </w:r>
      <w:r>
        <w:rPr>
          <w:rStyle w:val="CharStyle30"/>
        </w:rPr>
        <w:t>установленным документацией об аукционе в электронной форме по пунктам 3 и 4,</w:t>
      </w:r>
    </w:p>
    <w:p>
      <w:pPr>
        <w:pStyle w:val="Style31"/>
        <w:widowControl w:val="0"/>
        <w:keepNext/>
        <w:keepLines/>
        <w:shd w:val="clear" w:color="auto" w:fill="auto"/>
        <w:bidi w:val="0"/>
        <w:jc w:val="left"/>
        <w:spacing w:before="0" w:after="0"/>
        <w:ind w:left="40" w:right="0" w:firstLine="0"/>
      </w:pPr>
      <w:bookmarkStart w:id="2" w:name="bookmark2"/>
      <w:r>
        <w:rPr>
          <w:lang w:val="ru-RU" w:eastAsia="ru-RU" w:bidi="ru-RU"/>
          <w:w w:val="100"/>
          <w:color w:val="000000"/>
          <w:position w:val="0"/>
        </w:rPr>
        <w:t>а именно:</w:t>
      </w:r>
      <w:bookmarkEnd w:id="2"/>
    </w:p>
    <w:p>
      <w:pPr>
        <w:pStyle w:val="Style21"/>
        <w:numPr>
          <w:ilvl w:val="0"/>
          <w:numId w:val="3"/>
        </w:numPr>
        <w:widowControl w:val="0"/>
        <w:keepNext w:val="0"/>
        <w:keepLines w:val="0"/>
        <w:shd w:val="clear" w:color="auto" w:fill="auto"/>
        <w:bidi w:val="0"/>
        <w:jc w:val="both"/>
        <w:spacing w:before="0" w:after="0"/>
        <w:ind w:left="40" w:right="40" w:firstLine="700"/>
      </w:pPr>
      <w:r>
        <w:rPr>
          <w:lang w:val="en-US" w:eastAsia="en-US" w:bidi="en-US"/>
          <w:sz w:val="24"/>
          <w:szCs w:val="24"/>
          <w:w w:val="100"/>
          <w:spacing w:val="0"/>
          <w:color w:val="000000"/>
          <w:position w:val="0"/>
        </w:rPr>
        <w:t xml:space="preserve">He </w:t>
      </w:r>
      <w:r>
        <w:rPr>
          <w:lang w:val="ru-RU" w:eastAsia="ru-RU" w:bidi="ru-RU"/>
          <w:sz w:val="24"/>
          <w:szCs w:val="24"/>
          <w:w w:val="100"/>
          <w:spacing w:val="0"/>
          <w:color w:val="000000"/>
          <w:position w:val="0"/>
        </w:rPr>
        <w:t xml:space="preserve">указаны конкретные показатели по пункту «Подключение к городской сети по технологии </w:t>
      </w:r>
      <w:r>
        <w:rPr>
          <w:lang w:val="en-US" w:eastAsia="en-US" w:bidi="en-US"/>
          <w:sz w:val="24"/>
          <w:szCs w:val="24"/>
          <w:w w:val="100"/>
          <w:spacing w:val="0"/>
          <w:color w:val="000000"/>
          <w:position w:val="0"/>
        </w:rPr>
        <w:t xml:space="preserve">SIP, </w:t>
      </w:r>
      <w:r>
        <w:rPr>
          <w:lang w:val="ru-RU" w:eastAsia="ru-RU" w:bidi="ru-RU"/>
          <w:sz w:val="24"/>
          <w:szCs w:val="24"/>
          <w:w w:val="100"/>
          <w:spacing w:val="0"/>
          <w:color w:val="000000"/>
          <w:position w:val="0"/>
        </w:rPr>
        <w:t>НЕ МЕНЕЕ 15 каналов, НЕ МЕНЕЕ 45 городских номеров. НЕ МЕНЕЕ 10 внутренних цифровых абонентов с возможностью расширения емкости. НЕ МЕНЕЕ 144 внутренних аналоговых абонентов с возможностью расширения емкости. Работа на батареях НЕ МЕНЕЕ 3 часов. Возможность подключения НЕ МЕНЕЕ 25% аналоговых абонентов на расстоянии НЕ МЕНЕЕ 5000 метров. Возможность увеличения емкости внутренних цифровых абонентов».</w:t>
      </w:r>
    </w:p>
    <w:p>
      <w:pPr>
        <w:pStyle w:val="Style21"/>
        <w:numPr>
          <w:ilvl w:val="0"/>
          <w:numId w:val="3"/>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Герметизированный свинцово-кислотный аккумулятор. Диапазон рабочих температур от -40 до 60°С. Предназначен для обеспечения резервного питания АТС на время от 3 часов. Зарядка во время работы от блока питания АТС.</w:t>
      </w:r>
    </w:p>
    <w:p>
      <w:pPr>
        <w:pStyle w:val="Style21"/>
        <w:numPr>
          <w:ilvl w:val="0"/>
          <w:numId w:val="3"/>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Кабель резервного питания для 3-х аккумуляторов 12В, емкостью 28АИ.</w:t>
      </w:r>
    </w:p>
    <w:p>
      <w:pPr>
        <w:pStyle w:val="Style21"/>
        <w:numPr>
          <w:ilvl w:val="0"/>
          <w:numId w:val="3"/>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По пункту 7 «Герметизированный свинцово-кислотный аккумулятор» в количестве - 3 </w:t>
      </w:r>
      <w:r>
        <w:rPr>
          <w:rStyle w:val="CharStyle27"/>
        </w:rPr>
        <w:t>шт.</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Изучив материалы и аукционную документацию, Комиссия сочла доводы заявителя, изложенные в жалобе, частично обоснованными ввиду следующего.</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Согласно пункту 3 части 1 статьи 66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первая часть заявки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В соответствии с частью 4 статьи 67 Закона о контрактной системе, участник электронного аукциона не допускается к участию в нем в случае:</w:t>
      </w:r>
    </w:p>
    <w:p>
      <w:pPr>
        <w:pStyle w:val="Style21"/>
        <w:numPr>
          <w:ilvl w:val="0"/>
          <w:numId w:val="5"/>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1"/>
        <w:numPr>
          <w:ilvl w:val="0"/>
          <w:numId w:val="5"/>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Согласно части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21"/>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В соответствии с протоколом рассмотрения заявок на участие в аукционе в электронной форме от 27.10.2017г. заявке заявителя (порядковый номер - 1) отказано в допуске к участию в аукционе на основании пунктов 1, 2 части 4 статьи 67 Закона о контрактной системе.</w:t>
      </w:r>
    </w:p>
    <w:p>
      <w:pPr>
        <w:pStyle w:val="Style21"/>
        <w:widowControl w:val="0"/>
        <w:keepNext w:val="0"/>
        <w:keepLines w:val="0"/>
        <w:shd w:val="clear" w:color="auto" w:fill="auto"/>
        <w:bidi w:val="0"/>
        <w:jc w:val="both"/>
        <w:spacing w:before="0" w:after="0"/>
        <w:ind w:left="40" w:right="0" w:firstLine="680"/>
      </w:pPr>
      <w:r>
        <w:rPr>
          <w:lang w:val="ru-RU" w:eastAsia="ru-RU" w:bidi="ru-RU"/>
          <w:sz w:val="24"/>
          <w:szCs w:val="24"/>
          <w:w w:val="100"/>
          <w:spacing w:val="0"/>
          <w:color w:val="000000"/>
          <w:position w:val="0"/>
        </w:rPr>
        <w:t>Изучив заявку заявителя, Комиссия Татарстанского установила следующее:</w:t>
      </w:r>
    </w:p>
    <w:p>
      <w:pPr>
        <w:pStyle w:val="Style21"/>
        <w:numPr>
          <w:ilvl w:val="0"/>
          <w:numId w:val="7"/>
        </w:numPr>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 xml:space="preserve"> Относительно отсутствия конкретных показателей по пункту Технического задания: «Подключение к городской сети по технологии </w:t>
      </w:r>
      <w:r>
        <w:rPr>
          <w:lang w:val="en-US" w:eastAsia="en-US" w:bidi="en-US"/>
          <w:sz w:val="24"/>
          <w:szCs w:val="24"/>
          <w:w w:val="100"/>
          <w:spacing w:val="0"/>
          <w:color w:val="000000"/>
          <w:position w:val="0"/>
        </w:rPr>
        <w:t xml:space="preserve">SIP, </w:t>
      </w:r>
      <w:r>
        <w:rPr>
          <w:lang w:val="ru-RU" w:eastAsia="ru-RU" w:bidi="ru-RU"/>
          <w:sz w:val="24"/>
          <w:szCs w:val="24"/>
          <w:w w:val="100"/>
          <w:spacing w:val="0"/>
          <w:color w:val="000000"/>
          <w:position w:val="0"/>
        </w:rPr>
        <w:t>НЕ МЕНЕЕ 15 каналов, НЕ МЕНЕЕ 45 городских номеров. НЕ МЕНЕЕ 10 внутренних цифровых абонентов с возможностью расширения емкости. НЕ МЕНЕЕ 144 внутренних аналоговых абонентов с возможностью расширения емкости. Работа на батареях НЕ МЕНЕЕ 3 часов. Возможность подключения НЕ МЕНЕЕ 25% аналоговых абонентов на расстоянии НЕ МЕНЕЕ 5000 метров. Возможность увеличения емкости внутренних цифровых абонентов» признать отказ в допуске к участию в аукционе обоснованным, таккак в заявке заявителя отсутствуют конкретные показатели по количеству каналов, городских номеров, внутренних цифровых абонентов с возможностью расширения емкости, внутренних аналоговых абонентов с возможностью расширения емкости.</w:t>
      </w:r>
    </w:p>
    <w:p>
      <w:pPr>
        <w:pStyle w:val="Style21"/>
        <w:numPr>
          <w:ilvl w:val="0"/>
          <w:numId w:val="7"/>
        </w:numPr>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 xml:space="preserve"> В пункте 7 в заявке заявителя указано: «Герметизированный свинцово</w:t>
        <w:softHyphen/>
        <w:t>кислотный аккумулятор. Диапазон рабочих температур от -40 до 60°С. Предназначен для обеспечения резервного питания АТС на время от 3 часов. Зарядка во время работы от блока питания АТС».</w:t>
      </w:r>
    </w:p>
    <w:p>
      <w:pPr>
        <w:pStyle w:val="Style21"/>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Заявка участника не содержит конкретных показателей, соответствующих значениям, установленным документацией о таком аукционе, а именно время работы аккумулятора, предназначенного для обеспечения резервного питания АТС.</w:t>
      </w:r>
    </w:p>
    <w:p>
      <w:pPr>
        <w:pStyle w:val="Style21"/>
        <w:numPr>
          <w:ilvl w:val="0"/>
          <w:numId w:val="7"/>
        </w:numPr>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 xml:space="preserve"> Относительно несоответствия информации, представленной в заявке участника части 4 «Техническое задание» аукционной документации по пункту 6 «Кабель резервного питания для 3-х аккумуляторов 12В, емкостью 28</w:t>
      </w:r>
      <w:r>
        <w:rPr>
          <w:lang w:val="en-US" w:eastAsia="en-US" w:bidi="en-US"/>
          <w:sz w:val="24"/>
          <w:szCs w:val="24"/>
          <w:w w:val="100"/>
          <w:spacing w:val="0"/>
          <w:color w:val="000000"/>
          <w:position w:val="0"/>
        </w:rPr>
        <w:t xml:space="preserve">Ah» </w:t>
      </w:r>
      <w:r>
        <w:rPr>
          <w:lang w:val="ru-RU" w:eastAsia="ru-RU" w:bidi="ru-RU"/>
          <w:sz w:val="24"/>
          <w:szCs w:val="24"/>
          <w:w w:val="100"/>
          <w:spacing w:val="0"/>
          <w:color w:val="000000"/>
          <w:position w:val="0"/>
        </w:rPr>
        <w:t xml:space="preserve">Комиссия Татарстанского УФАС России приходит к выводу, что довод заявителя является обоснованным. Представленный заявителем показатель «емкость </w:t>
      </w:r>
      <w:r>
        <w:rPr>
          <w:lang w:val="en-US" w:eastAsia="en-US" w:bidi="en-US"/>
          <w:sz w:val="24"/>
          <w:szCs w:val="24"/>
          <w:w w:val="100"/>
          <w:spacing w:val="0"/>
          <w:color w:val="000000"/>
          <w:position w:val="0"/>
        </w:rPr>
        <w:t xml:space="preserve">28Ah» </w:t>
      </w:r>
      <w:r>
        <w:rPr>
          <w:lang w:val="ru-RU" w:eastAsia="ru-RU" w:bidi="ru-RU"/>
          <w:sz w:val="24"/>
          <w:szCs w:val="24"/>
          <w:w w:val="100"/>
          <w:spacing w:val="0"/>
          <w:color w:val="000000"/>
          <w:position w:val="0"/>
        </w:rPr>
        <w:t>относится к характеристикам аккумулятора, тогда как заказчиком установлено, что объектом закупки по данному пункту является кабель резервного питания.</w:t>
      </w:r>
    </w:p>
    <w:p>
      <w:pPr>
        <w:pStyle w:val="Style21"/>
        <w:numPr>
          <w:ilvl w:val="0"/>
          <w:numId w:val="7"/>
        </w:numPr>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 xml:space="preserve"> По пункту 7 «Герметизированный свинцово-кислотный аккумулятор» в количестве - 3 шт.</w:t>
      </w:r>
    </w:p>
    <w:p>
      <w:pPr>
        <w:pStyle w:val="Style21"/>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21"/>
        <w:widowControl w:val="0"/>
        <w:keepNext w:val="0"/>
        <w:keepLines w:val="0"/>
        <w:shd w:val="clear" w:color="auto" w:fill="auto"/>
        <w:bidi w:val="0"/>
        <w:jc w:val="both"/>
        <w:spacing w:before="0" w:after="0"/>
        <w:ind w:left="40" w:right="40" w:firstLine="680"/>
      </w:pPr>
      <w:r>
        <w:rPr>
          <w:lang w:val="ru-RU" w:eastAsia="ru-RU" w:bidi="ru-RU"/>
          <w:sz w:val="24"/>
          <w:szCs w:val="24"/>
          <w:w w:val="100"/>
          <w:spacing w:val="0"/>
          <w:color w:val="000000"/>
          <w:position w:val="0"/>
        </w:rPr>
        <w:t>В силу пункта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Исчерпывающий перечень сведений, которые должны быть отражены в первой части заявки на поставку товара, приведен в пункте 1 части 3 статьи 66 Закона о контрактной системе. Участник не допускается к участию в электронном аукционе, если такие сведения отсутствуют, недостоверны либо не соответствуют требованиям документации об аукционе (ч. 4 ст. 67 Закона о контрактной системе).</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Предоставление информации о количестве товара в первой части заявки законом не установлено. Данную информацию нельзя отнести к сведениям о конкретных показателях товара, упомянутых в пп. "а" и "б" п. 1 ч. 3 ст. 66 Закона о контрактной системе. Показатели предусмотрены для функциональных и ряда других характеристик товара и необходимы для того, чтобы определить, подходит ли он заказчику. Количество товара в числе таких характеристик не упомянуто. Эти выводы следуют из положений п. 1 ч. 1, ч. 2 ст. 33 Закона о контрактной системе.</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Количество закупаемого товара функциональной, технической, качественной или эксплуатационной характеристикой товара как объекта закупки не является, не конкретизирует товар и его свойства, а определяет объем закупки, который установлен заказчиком в извещении об осуществлении закупки, документации о закупке, и не может быть изменен участником электронного аукциона. Участник, подавая заявку на участие в аукционе, дает согласие на поставку товара в требуемом объеме, в связи, с чем не обязан указывать количество товара в своей заявке.</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Кроме того, заказчик при обосновании начальной (максимальной) цены контракта учитывает, в том числе количество товара, необходимое к поставке, в связи, с чем участник закупки не может самостоятельно изменить количество товара, которое требуется заказчику, в связи, с чем заявка на участие в электронном аукционе не подлежит отклонению в случае отсутствия в ней сведений о количестве товара.</w:t>
      </w:r>
    </w:p>
    <w:p>
      <w:pPr>
        <w:pStyle w:val="Style21"/>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На основании изложенного, Комиссия приходит к выводу, что отклонение уполномоченным органом заявки участника на участие в электронном аукционе на основании указания в составе заявки некорректного количества поставляемого товара является неправомерным и не соответствует части 5 статьи 67 Закона о контрактной системе.</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Следовательно, уполномоченным органом нарушены требования части 5 статьи 67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21"/>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Учитывая, что выявленные нарушения не повлияли на результаты осуществления закупки (определения поставщика), а именно заявка участника отклонена правомерно по пунктам 1 и 2, предписание об устранении нарушения законодательства о контрактной системе не выдавать.</w:t>
      </w:r>
    </w:p>
    <w:p>
      <w:pPr>
        <w:pStyle w:val="Style21"/>
        <w:widowControl w:val="0"/>
        <w:keepNext w:val="0"/>
        <w:keepLines w:val="0"/>
        <w:shd w:val="clear" w:color="auto" w:fill="auto"/>
        <w:bidi w:val="0"/>
        <w:jc w:val="both"/>
        <w:spacing w:before="0" w:after="318"/>
        <w:ind w:left="40" w:right="40" w:firstLine="720"/>
      </w:pPr>
      <w:r>
        <w:rPr>
          <w:lang w:val="ru-RU" w:eastAsia="ru-RU" w:bidi="ru-RU"/>
          <w:sz w:val="24"/>
          <w:szCs w:val="24"/>
          <w:w w:val="100"/>
          <w:spacing w:val="0"/>
          <w:color w:val="000000"/>
          <w:position w:val="0"/>
        </w:rPr>
        <w:t xml:space="preserve">Исходя из вышеуказанного, руководствуясь пунктом 2 части 22 статьи 99, частью 8 статьи 106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33"/>
        <w:widowControl w:val="0"/>
        <w:keepNext w:val="0"/>
        <w:keepLines w:val="0"/>
        <w:shd w:val="clear" w:color="auto" w:fill="auto"/>
        <w:bidi w:val="0"/>
        <w:jc w:val="left"/>
        <w:spacing w:before="0" w:after="325" w:line="220" w:lineRule="exact"/>
        <w:ind w:left="4660" w:right="0" w:firstLine="0"/>
      </w:pPr>
      <w:r>
        <w:rPr>
          <w:lang w:val="ru-RU" w:eastAsia="ru-RU" w:bidi="ru-RU"/>
          <w:w w:val="100"/>
          <w:color w:val="000000"/>
          <w:position w:val="0"/>
        </w:rPr>
        <w:t>РЕШИЛА:</w:t>
      </w:r>
    </w:p>
    <w:p>
      <w:pPr>
        <w:pStyle w:val="Style21"/>
        <w:numPr>
          <w:ilvl w:val="0"/>
          <w:numId w:val="9"/>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Признать жалобу ООО «РТЦ Мастер» на действия уполномоченного органа - Государственный комитет Республики Татарстан по закупкам, заказчика - ГАУЗ «Республиканская клиническая психиатрическая больница им. Акад. В.М. Бехтерева Министерства здравоохранения Республики Татарстан» при проведении электронного аукциона № 0111200000917000799 на предмет: «Право заключения гражданско-правового договора на поставку оргтехники для нужд автономного учреждения Республики Татарстан», частично обоснованной.</w:t>
      </w:r>
    </w:p>
    <w:p>
      <w:pPr>
        <w:pStyle w:val="Style21"/>
        <w:numPr>
          <w:ilvl w:val="0"/>
          <w:numId w:val="9"/>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Признать уполномоченный орган - Государственный комитет Республики Татарстан по закупкам нарушившим требования пункта 5 статьи 67Федерального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pPr>
        <w:pStyle w:val="Style21"/>
        <w:numPr>
          <w:ilvl w:val="0"/>
          <w:numId w:val="9"/>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1"/>
        <w:widowControl w:val="0"/>
        <w:keepNext w:val="0"/>
        <w:keepLines w:val="0"/>
        <w:shd w:val="clear" w:color="auto" w:fill="auto"/>
        <w:bidi w:val="0"/>
        <w:jc w:val="both"/>
        <w:spacing w:before="0" w:after="662"/>
        <w:ind w:left="40" w:right="40" w:firstLine="720"/>
      </w:pPr>
      <w:r>
        <w:rPr>
          <w:lang w:val="ru-RU" w:eastAsia="ru-RU" w:bidi="ru-RU"/>
          <w:sz w:val="24"/>
          <w:szCs w:val="24"/>
          <w:w w:val="100"/>
          <w:spacing w:val="0"/>
          <w:color w:val="000000"/>
          <w:position w:val="0"/>
        </w:rPr>
        <w:t>Решение Комиссии может быть обжаловшю/в судебном порядке в течение трех месяцев со дня его принятия.</w:t>
      </w:r>
    </w:p>
    <w:p>
      <w:pPr>
        <w:pStyle w:val="Style21"/>
        <w:widowControl w:val="0"/>
        <w:keepNext w:val="0"/>
        <w:keepLines w:val="0"/>
        <w:shd w:val="clear" w:color="auto" w:fill="auto"/>
        <w:bidi w:val="0"/>
        <w:jc w:val="left"/>
        <w:spacing w:before="0" w:after="0" w:line="240" w:lineRule="exact"/>
        <w:ind w:left="40" w:right="0" w:firstLine="0"/>
      </w:pPr>
      <w:r>
        <w:rPr>
          <w:lang w:val="ru-RU" w:eastAsia="ru-RU" w:bidi="ru-RU"/>
          <w:sz w:val="24"/>
          <w:szCs w:val="24"/>
          <w:w w:val="100"/>
          <w:spacing w:val="0"/>
          <w:color w:val="000000"/>
          <w:position w:val="0"/>
        </w:rPr>
        <w:t>Зам. председателя Комиссии</w:t>
      </w:r>
    </w:p>
    <w:p>
      <w:pPr>
        <w:pStyle w:val="Style21"/>
        <w:widowControl w:val="0"/>
        <w:keepNext w:val="0"/>
        <w:keepLines w:val="0"/>
        <w:shd w:val="clear" w:color="auto" w:fill="auto"/>
        <w:bidi w:val="0"/>
        <w:jc w:val="left"/>
        <w:spacing w:before="0" w:after="893" w:line="240" w:lineRule="exact"/>
        <w:ind w:left="40" w:right="0" w:firstLine="0"/>
      </w:pPr>
      <w:r>
        <w:rPr>
          <w:lang w:val="ru-RU" w:eastAsia="ru-RU" w:bidi="ru-RU"/>
          <w:sz w:val="24"/>
          <w:szCs w:val="24"/>
          <w:w w:val="100"/>
          <w:spacing w:val="0"/>
          <w:color w:val="000000"/>
          <w:position w:val="0"/>
        </w:rPr>
        <w:t>Члены Комиссии</w:t>
      </w:r>
    </w:p>
    <w:p>
      <w:pPr>
        <w:pStyle w:val="Style35"/>
        <w:widowControl w:val="0"/>
        <w:keepNext w:val="0"/>
        <w:keepLines w:val="0"/>
        <w:shd w:val="clear" w:color="auto" w:fill="auto"/>
        <w:bidi w:val="0"/>
        <w:jc w:val="left"/>
        <w:spacing w:before="0" w:after="0"/>
        <w:ind w:left="40" w:right="40" w:firstLine="0"/>
      </w:pPr>
      <w:r>
        <w:rPr>
          <w:lang w:val="ru-RU" w:eastAsia="ru-RU" w:bidi="ru-RU"/>
          <w:sz w:val="24"/>
          <w:szCs w:val="24"/>
          <w:w w:val="100"/>
          <w:spacing w:val="0"/>
          <w:color w:val="000000"/>
          <w:position w:val="0"/>
        </w:rPr>
        <w:t>Заляева Д.Р. (843) 238-24-86</w:t>
      </w:r>
    </w:p>
    <w:sectPr>
      <w:type w:val="continuous"/>
      <w:pgSz w:w="11906" w:h="16838"/>
      <w:pgMar w:top="918" w:left="608" w:right="574" w:bottom="6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3"/>
      <w:szCs w:val="1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 6 pt,Курсив"/>
    <w:basedOn w:val="CharStyle7"/>
    <w:rPr>
      <w:lang w:val="ru-RU" w:eastAsia="ru-RU" w:bidi="ru-RU"/>
      <w:i/>
      <w:iCs/>
      <w:sz w:val="12"/>
      <w:szCs w:val="12"/>
      <w:w w:val="100"/>
      <w:spacing w:val="0"/>
      <w:color w:val="000000"/>
      <w:position w:val="0"/>
    </w:rPr>
  </w:style>
  <w:style w:type="character" w:customStyle="1" w:styleId="CharStyle11">
    <w:name w:val="Заголовок №1_"/>
    <w:basedOn w:val="DefaultParagraphFont"/>
    <w:link w:val="Style10"/>
    <w:rPr>
      <w:lang w:val="en-US" w:eastAsia="en-US" w:bidi="en-US"/>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12">
    <w:name w:val="Заголовок №1"/>
    <w:basedOn w:val="CharStyle11"/>
    <w:rPr>
      <w:lang w:val="ru-RU" w:eastAsia="ru-RU" w:bidi="ru-RU"/>
      <w:w w:val="100"/>
      <w:color w:val="000000"/>
      <w:position w:val="0"/>
    </w:rPr>
  </w:style>
  <w:style w:type="character" w:customStyle="1" w:styleId="CharStyle13">
    <w:name w:val="Заголовок №1 + Book Antiqua,11 pt,Курсив,Интервал -1 pt"/>
    <w:basedOn w:val="CharStyle11"/>
    <w:rPr>
      <w:i/>
      <w:iCs/>
      <w:u w:val="single"/>
      <w:sz w:val="22"/>
      <w:szCs w:val="22"/>
      <w:rFonts w:ascii="Book Antiqua" w:eastAsia="Book Antiqua" w:hAnsi="Book Antiqua" w:cs="Book Antiqua"/>
      <w:w w:val="100"/>
      <w:spacing w:val="-20"/>
      <w:color w:val="000000"/>
      <w:position w:val="0"/>
    </w:rPr>
  </w:style>
  <w:style w:type="character" w:customStyle="1" w:styleId="CharStyle14">
    <w:name w:val="Заголовок №1"/>
    <w:basedOn w:val="CharStyle11"/>
    <w:rPr>
      <w:lang w:val="ru-RU" w:eastAsia="ru-RU" w:bidi="ru-RU"/>
      <w:w w:val="100"/>
      <w:color w:val="000000"/>
      <w:position w:val="0"/>
    </w:rPr>
  </w:style>
  <w:style w:type="character" w:customStyle="1" w:styleId="CharStyle16">
    <w:name w:val="Основной текст (4) Exact"/>
    <w:basedOn w:val="DefaultParagraphFont"/>
    <w:link w:val="Style15"/>
    <w:rPr>
      <w:b w:val="0"/>
      <w:bCs w:val="0"/>
      <w:i w:val="0"/>
      <w:iCs w:val="0"/>
      <w:u w:val="none"/>
      <w:strike w:val="0"/>
      <w:smallCaps w:val="0"/>
      <w:sz w:val="21"/>
      <w:szCs w:val="21"/>
      <w:rFonts w:ascii="Calibri" w:eastAsia="Calibri" w:hAnsi="Calibri" w:cs="Calibri"/>
      <w:spacing w:val="17"/>
    </w:rPr>
  </w:style>
  <w:style w:type="character" w:customStyle="1" w:styleId="CharStyle17">
    <w:name w:val="Основной текст (4) Exact"/>
    <w:basedOn w:val="CharStyle16"/>
    <w:rPr>
      <w:lang w:val="ru-RU" w:eastAsia="ru-RU" w:bidi="ru-RU"/>
      <w:w w:val="100"/>
      <w:color w:val="000000"/>
      <w:position w:val="0"/>
    </w:rPr>
  </w:style>
  <w:style w:type="character" w:customStyle="1" w:styleId="CharStyle19">
    <w:name w:val="Основной текст (5) Exact"/>
    <w:basedOn w:val="DefaultParagraphFont"/>
    <w:link w:val="Style18"/>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20">
    <w:name w:val="Основной текст (5) Exact"/>
    <w:basedOn w:val="CharStyle19"/>
    <w:rPr>
      <w:lang w:val="ru-RU" w:eastAsia="ru-RU" w:bidi="ru-RU"/>
      <w:w w:val="10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 Интервал 4 pt"/>
    <w:basedOn w:val="CharStyle22"/>
    <w:rPr>
      <w:lang w:val="ru-RU" w:eastAsia="ru-RU" w:bidi="ru-RU"/>
      <w:sz w:val="24"/>
      <w:szCs w:val="24"/>
      <w:w w:val="100"/>
      <w:spacing w:val="8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rFonts w:ascii="Calibri" w:eastAsia="Calibri" w:hAnsi="Calibri" w:cs="Calibri"/>
      <w:spacing w:val="30"/>
    </w:rPr>
  </w:style>
  <w:style w:type="character" w:customStyle="1" w:styleId="CharStyle26">
    <w:name w:val="Основной текст"/>
    <w:basedOn w:val="CharStyle22"/>
    <w:rPr>
      <w:lang w:val="en-US" w:eastAsia="en-US" w:bidi="en-US"/>
      <w:u w:val="single"/>
      <w:sz w:val="24"/>
      <w:szCs w:val="24"/>
      <w:w w:val="100"/>
      <w:spacing w:val="0"/>
      <w:color w:val="000000"/>
      <w:position w:val="0"/>
    </w:rPr>
  </w:style>
  <w:style w:type="character" w:customStyle="1" w:styleId="CharStyle27">
    <w:name w:val="Основной текст + Полужирный,Интервал 0 pt"/>
    <w:basedOn w:val="CharStyle22"/>
    <w:rPr>
      <w:lang w:val="ru-RU" w:eastAsia="ru-RU" w:bidi="ru-RU"/>
      <w:b/>
      <w:bCs/>
      <w:sz w:val="24"/>
      <w:szCs w:val="24"/>
      <w:w w:val="100"/>
      <w:spacing w:val="10"/>
      <w:color w:val="000000"/>
      <w:position w:val="0"/>
    </w:rPr>
  </w:style>
  <w:style w:type="character" w:customStyle="1" w:styleId="CharStyle29">
    <w:name w:val="Заголовок №3_"/>
    <w:basedOn w:val="DefaultParagraphFont"/>
    <w:link w:val="Style28"/>
    <w:rPr>
      <w:b/>
      <w:bCs/>
      <w:i w:val="0"/>
      <w:iCs w:val="0"/>
      <w:u w:val="none"/>
      <w:strike w:val="0"/>
      <w:smallCaps w:val="0"/>
      <w:rFonts w:ascii="Times New Roman" w:eastAsia="Times New Roman" w:hAnsi="Times New Roman" w:cs="Times New Roman"/>
      <w:spacing w:val="10"/>
    </w:rPr>
  </w:style>
  <w:style w:type="character" w:customStyle="1" w:styleId="CharStyle30">
    <w:name w:val="Основной текст"/>
    <w:basedOn w:val="CharStyle22"/>
    <w:rPr>
      <w:lang w:val="ru-RU" w:eastAsia="ru-RU" w:bidi="ru-RU"/>
      <w:sz w:val="24"/>
      <w:szCs w:val="24"/>
      <w:w w:val="100"/>
      <w:spacing w:val="0"/>
      <w:color w:val="000000"/>
      <w:position w:val="0"/>
    </w:rPr>
  </w:style>
  <w:style w:type="character" w:customStyle="1" w:styleId="CharStyle32">
    <w:name w:val="Заголовок №2_"/>
    <w:basedOn w:val="DefaultParagraphFont"/>
    <w:link w:val="Style31"/>
    <w:rPr>
      <w:b w:val="0"/>
      <w:bCs w:val="0"/>
      <w:i w:val="0"/>
      <w:iCs w:val="0"/>
      <w:u w:val="none"/>
      <w:strike w:val="0"/>
      <w:smallCaps w:val="0"/>
      <w:sz w:val="28"/>
      <w:szCs w:val="28"/>
      <w:rFonts w:ascii="Calibri" w:eastAsia="Calibri" w:hAnsi="Calibri" w:cs="Calibri"/>
      <w:spacing w:val="-10"/>
    </w:rPr>
  </w:style>
  <w:style w:type="character" w:customStyle="1" w:styleId="CharStyle34">
    <w:name w:val="Основной текст (7)_"/>
    <w:basedOn w:val="DefaultParagraphFont"/>
    <w:link w:val="Style33"/>
    <w:rPr>
      <w:b w:val="0"/>
      <w:bCs w:val="0"/>
      <w:i w:val="0"/>
      <w:iCs w:val="0"/>
      <w:u w:val="none"/>
      <w:strike w:val="0"/>
      <w:smallCaps w:val="0"/>
      <w:sz w:val="22"/>
      <w:szCs w:val="22"/>
      <w:rFonts w:ascii="Times New Roman" w:eastAsia="Times New Roman" w:hAnsi="Times New Roman" w:cs="Times New Roman"/>
      <w:spacing w:val="70"/>
    </w:rPr>
  </w:style>
  <w:style w:type="character" w:customStyle="1" w:styleId="CharStyle36">
    <w:name w:val="Основной текст (8)_"/>
    <w:basedOn w:val="DefaultParagraphFont"/>
    <w:link w:val="Style35"/>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59"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after="300" w:line="182"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0" w:lineRule="exact"/>
    </w:pPr>
    <w:rPr>
      <w:lang w:val="en-US" w:eastAsia="en-US" w:bidi="en-US"/>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15">
    <w:name w:val="Основной текст (4)"/>
    <w:basedOn w:val="Normal"/>
    <w:link w:val="CharStyle16"/>
    <w:pPr>
      <w:widowControl w:val="0"/>
      <w:shd w:val="clear" w:color="auto" w:fill="FFFFFF"/>
      <w:spacing w:line="0" w:lineRule="exact"/>
    </w:pPr>
    <w:rPr>
      <w:b w:val="0"/>
      <w:bCs w:val="0"/>
      <w:i w:val="0"/>
      <w:iCs w:val="0"/>
      <w:u w:val="none"/>
      <w:strike w:val="0"/>
      <w:smallCaps w:val="0"/>
      <w:sz w:val="21"/>
      <w:szCs w:val="21"/>
      <w:rFonts w:ascii="Calibri" w:eastAsia="Calibri" w:hAnsi="Calibri" w:cs="Calibri"/>
      <w:spacing w:val="17"/>
    </w:rPr>
  </w:style>
  <w:style w:type="paragraph" w:customStyle="1" w:styleId="Style18">
    <w:name w:val="Основной текст (5)"/>
    <w:basedOn w:val="Normal"/>
    <w:link w:val="CharStyle19"/>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2"/>
    </w:rPr>
  </w:style>
  <w:style w:type="paragraph" w:customStyle="1" w:styleId="Style21">
    <w:name w:val="Основной текст"/>
    <w:basedOn w:val="Normal"/>
    <w:link w:val="CharStyle22"/>
    <w:pPr>
      <w:widowControl w:val="0"/>
      <w:shd w:val="clear" w:color="auto" w:fill="FFFFFF"/>
      <w:spacing w:line="317" w:lineRule="exact"/>
    </w:pPr>
    <w:rPr>
      <w:b w:val="0"/>
      <w:bCs w:val="0"/>
      <w:i w:val="0"/>
      <w:iCs w:val="0"/>
      <w:u w:val="none"/>
      <w:strike w:val="0"/>
      <w:smallCaps w:val="0"/>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right"/>
      <w:spacing w:before="240" w:line="0" w:lineRule="exact"/>
    </w:pPr>
    <w:rPr>
      <w:b w:val="0"/>
      <w:bCs w:val="0"/>
      <w:i w:val="0"/>
      <w:iCs w:val="0"/>
      <w:u w:val="none"/>
      <w:strike w:val="0"/>
      <w:smallCaps w:val="0"/>
      <w:rFonts w:ascii="Calibri" w:eastAsia="Calibri" w:hAnsi="Calibri" w:cs="Calibri"/>
      <w:spacing w:val="30"/>
    </w:rPr>
  </w:style>
  <w:style w:type="paragraph" w:customStyle="1" w:styleId="Style28">
    <w:name w:val="Заголовок №3"/>
    <w:basedOn w:val="Normal"/>
    <w:link w:val="CharStyle29"/>
    <w:pPr>
      <w:widowControl w:val="0"/>
      <w:shd w:val="clear" w:color="auto" w:fill="FFFFFF"/>
      <w:outlineLvl w:val="2"/>
      <w:spacing w:line="326" w:lineRule="exact"/>
    </w:pPr>
    <w:rPr>
      <w:b/>
      <w:bCs/>
      <w:i w:val="0"/>
      <w:iCs w:val="0"/>
      <w:u w:val="none"/>
      <w:strike w:val="0"/>
      <w:smallCaps w:val="0"/>
      <w:rFonts w:ascii="Times New Roman" w:eastAsia="Times New Roman" w:hAnsi="Times New Roman" w:cs="Times New Roman"/>
      <w:spacing w:val="10"/>
    </w:rPr>
  </w:style>
  <w:style w:type="paragraph" w:customStyle="1" w:styleId="Style31">
    <w:name w:val="Заголовок №2"/>
    <w:basedOn w:val="Normal"/>
    <w:link w:val="CharStyle32"/>
    <w:pPr>
      <w:widowControl w:val="0"/>
      <w:shd w:val="clear" w:color="auto" w:fill="FFFFFF"/>
      <w:outlineLvl w:val="1"/>
      <w:spacing w:line="317" w:lineRule="exact"/>
    </w:pPr>
    <w:rPr>
      <w:b w:val="0"/>
      <w:bCs w:val="0"/>
      <w:i w:val="0"/>
      <w:iCs w:val="0"/>
      <w:u w:val="none"/>
      <w:strike w:val="0"/>
      <w:smallCaps w:val="0"/>
      <w:sz w:val="28"/>
      <w:szCs w:val="28"/>
      <w:rFonts w:ascii="Calibri" w:eastAsia="Calibri" w:hAnsi="Calibri" w:cs="Calibri"/>
      <w:spacing w:val="-10"/>
    </w:rPr>
  </w:style>
  <w:style w:type="paragraph" w:customStyle="1" w:styleId="Style33">
    <w:name w:val="Основной текст (7)"/>
    <w:basedOn w:val="Normal"/>
    <w:link w:val="CharStyle34"/>
    <w:pPr>
      <w:widowControl w:val="0"/>
      <w:shd w:val="clear" w:color="auto" w:fill="FFFFFF"/>
      <w:spacing w:before="240" w:after="420" w:line="0" w:lineRule="exact"/>
    </w:pPr>
    <w:rPr>
      <w:b w:val="0"/>
      <w:bCs w:val="0"/>
      <w:i w:val="0"/>
      <w:iCs w:val="0"/>
      <w:u w:val="none"/>
      <w:strike w:val="0"/>
      <w:smallCaps w:val="0"/>
      <w:sz w:val="22"/>
      <w:szCs w:val="22"/>
      <w:rFonts w:ascii="Times New Roman" w:eastAsia="Times New Roman" w:hAnsi="Times New Roman" w:cs="Times New Roman"/>
      <w:spacing w:val="70"/>
    </w:rPr>
  </w:style>
  <w:style w:type="paragraph" w:customStyle="1" w:styleId="Style35">
    <w:name w:val="Основной текст (8)"/>
    <w:basedOn w:val="Normal"/>
    <w:link w:val="CharStyle36"/>
    <w:pPr>
      <w:widowControl w:val="0"/>
      <w:shd w:val="clear" w:color="auto" w:fill="FFFFFF"/>
      <w:spacing w:before="1020" w:line="30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