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14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44"/>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406"/>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9"/>
        <w:numPr>
          <w:ilvl w:val="0"/>
          <w:numId w:val="1"/>
        </w:numPr>
        <w:tabs>
          <w:tab w:leader="hyphen" w:pos="2145" w:val="left"/>
          <w:tab w:leader="hyphen" w:pos="4210" w:val="left"/>
          <w:tab w:leader="none" w:pos="2368" w:val="left"/>
        </w:tabs>
        <w:widowControl w:val="0"/>
        <w:keepNext/>
        <w:keepLines/>
        <w:shd w:val="clear" w:color="auto" w:fill="auto"/>
        <w:bidi w:val="0"/>
        <w:spacing w:before="0" w:after="92" w:line="280" w:lineRule="exact"/>
        <w:ind w:left="280" w:right="0" w:firstLine="0"/>
      </w:pPr>
      <w:bookmarkStart w:id="0" w:name="bookmark0"/>
      <w:r>
        <w:rPr>
          <w:rStyle w:val="CharStyle13"/>
          <w:b w:val="0"/>
          <w:bCs w:val="0"/>
        </w:rPr>
        <w:t>-№</w:t>
      </w:r>
      <w:r>
        <w:rPr>
          <w:lang w:val="ru-RU" w:eastAsia="ru-RU" w:bidi="ru-RU"/>
          <w:w w:val="100"/>
          <w:color w:val="000000"/>
          <w:position w:val="0"/>
        </w:rPr>
        <w:t>20874/03</w:t>
      </w:r>
      <w:r>
        <w:rPr>
          <w:rStyle w:val="CharStyle13"/>
          <w:b w:val="0"/>
          <w:bCs w:val="0"/>
        </w:rPr>
        <w:tab/>
      </w:r>
      <w:bookmarkEnd w:id="0"/>
    </w:p>
    <w:p>
      <w:pPr>
        <w:pStyle w:val="Style14"/>
        <w:tabs>
          <w:tab w:leader="none" w:pos="2342" w:val="left"/>
          <w:tab w:leader="underscore" w:pos="4210" w:val="left"/>
        </w:tabs>
        <w:widowControl w:val="0"/>
        <w:keepNext w:val="0"/>
        <w:keepLines w:val="0"/>
        <w:shd w:val="clear" w:color="auto" w:fill="auto"/>
        <w:bidi w:val="0"/>
        <w:spacing w:before="0" w:after="0" w:line="220" w:lineRule="exact"/>
        <w:ind w:left="580" w:right="0" w:firstLine="0"/>
      </w:pPr>
      <w:r>
        <w:rPr>
          <w:rStyle w:val="CharStyle16"/>
        </w:rPr>
        <w:t xml:space="preserve">На </w:t>
      </w:r>
      <w:r>
        <w:rPr>
          <w:lang w:val="ru-RU" w:eastAsia="ru-RU" w:bidi="ru-RU"/>
          <w:w w:val="100"/>
          <w:spacing w:val="0"/>
          <w:color w:val="000000"/>
          <w:position w:val="0"/>
        </w:rPr>
        <w:t>№&gt;</w:t>
        <w:tab/>
        <w:t xml:space="preserve">ОТ </w:t>
        <w:tab/>
      </w:r>
    </w:p>
    <w:p>
      <w:pPr>
        <w:pStyle w:val="Style17"/>
        <w:widowControl w:val="0"/>
        <w:keepNext w:val="0"/>
        <w:keepLines w:val="0"/>
        <w:shd w:val="clear" w:color="auto" w:fill="auto"/>
        <w:bidi w:val="0"/>
        <w:jc w:val="left"/>
        <w:spacing w:before="0" w:after="0"/>
        <w:ind w:left="0" w:right="460" w:firstLine="0"/>
      </w:pPr>
      <w:r>
        <w:rPr>
          <w:lang w:val="ru-RU" w:eastAsia="ru-RU" w:bidi="ru-RU"/>
          <w:w w:val="100"/>
          <w:spacing w:val="0"/>
          <w:color w:val="000000"/>
          <w:position w:val="0"/>
        </w:rPr>
        <w:t>ООО «СтилПрофиль» (далее - Заявитель),</w:t>
      </w:r>
    </w:p>
    <w:p>
      <w:pPr>
        <w:pStyle w:val="Style17"/>
        <w:widowControl w:val="0"/>
        <w:keepNext w:val="0"/>
        <w:keepLines w:val="0"/>
        <w:shd w:val="clear" w:color="auto" w:fill="auto"/>
        <w:bidi w:val="0"/>
        <w:jc w:val="left"/>
        <w:spacing w:before="0" w:after="300" w:line="324" w:lineRule="exact"/>
        <w:ind w:left="0" w:right="0" w:firstLine="0"/>
      </w:pPr>
      <w:r>
        <w:rPr>
          <w:lang w:val="ru-RU" w:eastAsia="ru-RU" w:bidi="ru-RU"/>
          <w:w w:val="100"/>
          <w:spacing w:val="0"/>
          <w:color w:val="000000"/>
          <w:position w:val="0"/>
        </w:rPr>
        <w:t>404109, Волгоградская область, г.Волжский, ул.Пушкина, 156, кв.7</w:t>
      </w:r>
    </w:p>
    <w:p>
      <w:pPr>
        <w:pStyle w:val="Style17"/>
        <w:widowControl w:val="0"/>
        <w:keepNext w:val="0"/>
        <w:keepLines w:val="0"/>
        <w:shd w:val="clear" w:color="auto" w:fill="auto"/>
        <w:bidi w:val="0"/>
        <w:jc w:val="left"/>
        <w:spacing w:before="0" w:after="0" w:line="324" w:lineRule="exact"/>
        <w:ind w:left="0" w:right="0" w:firstLine="0"/>
      </w:pPr>
      <w:r>
        <w:rPr>
          <w:lang w:val="ru-RU" w:eastAsia="ru-RU" w:bidi="ru-RU"/>
          <w:w w:val="100"/>
          <w:spacing w:val="0"/>
          <w:color w:val="000000"/>
          <w:position w:val="0"/>
        </w:rPr>
        <w:t>Федеральное казенное учреждение «Объединенное стратегическое командование Южного военного округа» (далее - Заказчик),</w:t>
      </w:r>
    </w:p>
    <w:p>
      <w:pPr>
        <w:pStyle w:val="Style17"/>
        <w:widowControl w:val="0"/>
        <w:keepNext w:val="0"/>
        <w:keepLines w:val="0"/>
        <w:shd w:val="clear" w:color="auto" w:fill="auto"/>
        <w:bidi w:val="0"/>
        <w:jc w:val="left"/>
        <w:spacing w:before="0" w:after="300" w:line="324" w:lineRule="exact"/>
        <w:ind w:left="0" w:right="1060" w:firstLine="0"/>
      </w:pPr>
      <w:r>
        <w:rPr>
          <w:lang w:val="ru-RU" w:eastAsia="ru-RU" w:bidi="ru-RU"/>
          <w:w w:val="100"/>
          <w:spacing w:val="0"/>
          <w:color w:val="000000"/>
          <w:position w:val="0"/>
        </w:rPr>
        <w:t>344011, г.Ростов-на-Дону, пр.Буденновский, 43</w:t>
      </w:r>
    </w:p>
    <w:p>
      <w:pPr>
        <w:pStyle w:val="Style17"/>
        <w:widowControl w:val="0"/>
        <w:keepNext w:val="0"/>
        <w:keepLines w:val="0"/>
        <w:shd w:val="clear" w:color="auto" w:fill="auto"/>
        <w:bidi w:val="0"/>
        <w:jc w:val="left"/>
        <w:spacing w:before="0" w:after="0" w:line="324" w:lineRule="exact"/>
        <w:ind w:left="0" w:right="460" w:firstLine="0"/>
        <w:sectPr>
          <w:footnotePr>
            <w:pos w:val="pageBottom"/>
            <w:numFmt w:val="decimal"/>
            <w:numRestart w:val="continuous"/>
          </w:footnotePr>
          <w:type w:val="continuous"/>
          <w:pgSz w:w="11906" w:h="16838"/>
          <w:pgMar w:top="81" w:left="625" w:right="2004" w:bottom="106" w:header="0" w:footer="3" w:gutter="0"/>
          <w:rtlGutter w:val="0"/>
          <w:cols w:num="2" w:space="720" w:equalWidth="0">
            <w:col w:w="4759" w:space="360"/>
            <w:col w:w="4158"/>
          </w:cols>
          <w:noEndnote/>
          <w:docGrid w:linePitch="360"/>
        </w:sectPr>
      </w:pPr>
      <w:r>
        <w:rPr>
          <w:lang w:val="ru-RU" w:eastAsia="ru-RU" w:bidi="ru-RU"/>
          <w:w w:val="100"/>
          <w:spacing w:val="0"/>
          <w:color w:val="000000"/>
          <w:position w:val="0"/>
        </w:rPr>
        <w:t>ЭТП НЭП, 123317, г. Москва, ул.Тестовская, 10, этаж 13 (далее - оператор)</w:t>
      </w:r>
    </w:p>
    <w:p>
      <w:pPr>
        <w:widowControl w:val="0"/>
        <w:spacing w:line="240" w:lineRule="exact"/>
        <w:rPr>
          <w:sz w:val="19"/>
          <w:szCs w:val="19"/>
        </w:rPr>
      </w:pPr>
    </w:p>
    <w:p>
      <w:pPr>
        <w:widowControl w:val="0"/>
        <w:spacing w:before="102" w:after="10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keepLines/>
        <w:shd w:val="clear" w:color="auto" w:fill="auto"/>
        <w:bidi w:val="0"/>
        <w:jc w:val="left"/>
        <w:spacing w:before="0" w:after="287" w:line="280" w:lineRule="exact"/>
        <w:ind w:left="4140" w:right="0" w:firstLine="0"/>
      </w:pPr>
      <w:bookmarkStart w:id="1" w:name="bookmark1"/>
      <w:r>
        <w:rPr>
          <w:lang w:val="ru-RU" w:eastAsia="ru-RU" w:bidi="ru-RU"/>
          <w:w w:val="100"/>
          <w:spacing w:val="0"/>
          <w:color w:val="000000"/>
          <w:position w:val="0"/>
        </w:rPr>
        <w:t>РЕШЕНИЕ</w:t>
      </w:r>
      <w:bookmarkEnd w:id="1"/>
    </w:p>
    <w:p>
      <w:pPr>
        <w:pStyle w:val="Style17"/>
        <w:numPr>
          <w:ilvl w:val="0"/>
          <w:numId w:val="3"/>
        </w:numPr>
        <w:tabs>
          <w:tab w:leader="none" w:pos="9646" w:val="right"/>
          <w:tab w:leader="none" w:pos="1437" w:val="left"/>
        </w:tabs>
        <w:widowControl w:val="0"/>
        <w:keepNext w:val="0"/>
        <w:keepLines w:val="0"/>
        <w:shd w:val="clear" w:color="auto" w:fill="auto"/>
        <w:bidi w:val="0"/>
        <w:jc w:val="both"/>
        <w:spacing w:before="0" w:after="250" w:line="260" w:lineRule="exact"/>
        <w:ind w:left="20" w:right="0" w:firstLine="0"/>
      </w:pPr>
      <w:r>
        <w:rPr>
          <w:lang w:val="ru-RU" w:eastAsia="ru-RU" w:bidi="ru-RU"/>
          <w:w w:val="100"/>
          <w:spacing w:val="0"/>
          <w:color w:val="000000"/>
          <w:position w:val="0"/>
        </w:rPr>
        <w:t>г.</w:t>
        <w:tab/>
        <w:t>г.Ростов-на-Дону</w:t>
      </w:r>
    </w:p>
    <w:p>
      <w:pPr>
        <w:pStyle w:val="Style17"/>
        <w:widowControl w:val="0"/>
        <w:keepNext w:val="0"/>
        <w:keepLines w:val="0"/>
        <w:shd w:val="clear" w:color="auto" w:fill="auto"/>
        <w:bidi w:val="0"/>
        <w:jc w:val="both"/>
        <w:spacing w:before="0" w:after="0" w:line="320" w:lineRule="exact"/>
        <w:ind w:left="20" w:right="7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(далее - Комиссия) в составе:</w:t>
      </w:r>
    </w:p>
    <w:p>
      <w:pPr>
        <w:pStyle w:val="Style17"/>
        <w:tabs>
          <w:tab w:leader="none" w:pos="4542" w:val="left"/>
        </w:tabs>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Председатель Комиссии:</w:t>
        <w:tab/>
        <w:t>К.А. Коренченко,</w:t>
      </w:r>
    </w:p>
    <w:p>
      <w:pPr>
        <w:pStyle w:val="Style17"/>
        <w:tabs>
          <w:tab w:leader="none" w:pos="4542" w:val="left"/>
        </w:tabs>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Члены Комиссии:</w:t>
        <w:tab/>
        <w:t>Т.С. Акопян, В.В. Моргунов,</w:t>
      </w:r>
    </w:p>
    <w:p>
      <w:pPr>
        <w:pStyle w:val="Style17"/>
        <w:widowControl w:val="0"/>
        <w:keepNext w:val="0"/>
        <w:keepLines w:val="0"/>
        <w:shd w:val="clear" w:color="auto" w:fill="auto"/>
        <w:bidi w:val="0"/>
        <w:jc w:val="both"/>
        <w:spacing w:before="0" w:after="272" w:line="320" w:lineRule="exact"/>
        <w:ind w:left="20" w:right="740" w:firstLine="0"/>
      </w:pPr>
      <w:r>
        <w:rPr>
          <w:lang w:val="ru-RU" w:eastAsia="ru-RU" w:bidi="ru-RU"/>
          <w:w w:val="100"/>
          <w:spacing w:val="0"/>
          <w:color w:val="000000"/>
          <w:position w:val="0"/>
        </w:rPr>
        <w:t>рассмотрев дело №2141/03 о нарушении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085810000011.7000316 «Поставка товара (изделий из металла уголки стальные ) в интересах управления инженерных войск для нужд ФКУ "ОСК Южного военного округа" в 2017 году» (далее - аукцион), в присутствии представителей Заявителя (Романенко О.А., Ракицкой С.В.), представителей Заказчика (Бычкова И.В., Токиной В.А.),</w:t>
      </w:r>
    </w:p>
    <w:p>
      <w:pPr>
        <w:pStyle w:val="Style19"/>
        <w:widowControl w:val="0"/>
        <w:keepNext/>
        <w:keepLines/>
        <w:shd w:val="clear" w:color="auto" w:fill="auto"/>
        <w:bidi w:val="0"/>
        <w:jc w:val="left"/>
        <w:spacing w:before="0" w:after="268" w:line="280" w:lineRule="exact"/>
        <w:ind w:left="3840" w:right="0" w:firstLine="0"/>
      </w:pPr>
      <w:bookmarkStart w:id="2" w:name="bookmark2"/>
      <w:r>
        <w:rPr>
          <w:lang w:val="ru-RU" w:eastAsia="ru-RU" w:bidi="ru-RU"/>
          <w:w w:val="100"/>
          <w:spacing w:val="0"/>
          <w:color w:val="000000"/>
          <w:position w:val="0"/>
        </w:rPr>
        <w:t>УСТАНОВИЛА:</w:t>
      </w:r>
      <w:bookmarkEnd w:id="2"/>
    </w:p>
    <w:p>
      <w:pPr>
        <w:pStyle w:val="Style17"/>
        <w:widowControl w:val="0"/>
        <w:keepNext w:val="0"/>
        <w:keepLines w:val="0"/>
        <w:shd w:val="clear" w:color="auto" w:fill="auto"/>
        <w:bidi w:val="0"/>
        <w:jc w:val="both"/>
        <w:spacing w:before="0" w:after="0" w:line="310" w:lineRule="exact"/>
        <w:ind w:left="20" w:right="740" w:firstLine="720"/>
      </w:pPr>
      <w:r>
        <w:rPr>
          <w:lang w:val="ru-RU" w:eastAsia="ru-RU" w:bidi="ru-RU"/>
          <w:w w:val="100"/>
          <w:spacing w:val="0"/>
          <w:color w:val="000000"/>
          <w:position w:val="0"/>
        </w:rPr>
        <w:t>Ростовским У ФАС России принята к рассмотрению жалоба Заявителя на действия аукционной комиссии Заказчика при рассмотрении вторых частей заявок на участие в аукционе.</w:t>
      </w:r>
    </w:p>
    <w:p>
      <w:pPr>
        <w:pStyle w:val="Style17"/>
        <w:widowControl w:val="0"/>
        <w:keepNext w:val="0"/>
        <w:keepLines w:val="0"/>
        <w:shd w:val="clear" w:color="auto" w:fill="auto"/>
        <w:bidi w:val="0"/>
        <w:jc w:val="both"/>
        <w:spacing w:before="0" w:after="224" w:line="320" w:lineRule="exact"/>
        <w:ind w:left="20" w:right="740" w:firstLine="720"/>
      </w:pPr>
      <w:r>
        <w:rPr>
          <w:lang w:val="ru-RU" w:eastAsia="ru-RU" w:bidi="ru-RU"/>
          <w:w w:val="100"/>
          <w:spacing w:val="0"/>
          <w:color w:val="000000"/>
          <w:position w:val="0"/>
        </w:rPr>
        <w:t>Заказчик в возражениях не признал доводы жалобы Заявителя, указал, что заявка Заявителя не соответствовала требованиям Закона и документации об аукционе, просил признать жалобу необоснованной.</w:t>
      </w:r>
    </w:p>
    <w:p>
      <w:pPr>
        <w:pStyle w:val="Style21"/>
        <w:tabs>
          <w:tab w:leader="none" w:pos="10026" w:val="right"/>
        </w:tabs>
        <w:widowControl w:val="0"/>
        <w:keepNext/>
        <w:keepLines/>
        <w:shd w:val="clear" w:color="auto" w:fill="auto"/>
        <w:bidi w:val="0"/>
        <w:spacing w:before="0" w:after="0" w:line="340" w:lineRule="exact"/>
        <w:ind w:left="4820" w:right="0" w:firstLine="0"/>
      </w:pPr>
      <w:bookmarkStart w:id="3" w:name="bookmark3"/>
      <w:r>
        <w:rPr>
          <w:lang w:val="ru-RU" w:eastAsia="ru-RU" w:bidi="ru-RU"/>
          <w:vertAlign w:val="superscript"/>
          <w:w w:val="100"/>
          <w:spacing w:val="0"/>
          <w:color w:val="000000"/>
          <w:position w:val="0"/>
        </w:rPr>
        <w:t>1</w:t>
      </w:r>
      <w:r>
        <w:rPr>
          <w:rStyle w:val="CharStyle23"/>
          <w:lang w:val="ru-RU" w:eastAsia="ru-RU" w:bidi="ru-RU"/>
        </w:rPr>
        <w:tab/>
      </w:r>
      <w:r>
        <w:rPr>
          <w:lang w:val="ru-RU" w:eastAsia="ru-RU" w:bidi="ru-RU"/>
          <w:w w:val="100"/>
          <w:spacing w:val="0"/>
          <w:color w:val="000000"/>
          <w:position w:val="0"/>
        </w:rPr>
        <w:t>009744</w:t>
      </w:r>
      <w:bookmarkEnd w:id="3"/>
      <w:r>
        <w:br w:type="page"/>
      </w:r>
    </w:p>
    <w:p>
      <w:pPr>
        <w:pStyle w:val="Style17"/>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данной жалобе проведена внеплановая проверка закупки, в результате которой установлено следующее:</w:t>
      </w:r>
    </w:p>
    <w:p>
      <w:pPr>
        <w:pStyle w:val="Style17"/>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согласно Извещению о проведении электронного аукциона №0858100000117000316 от 06.10.2017 г.:</w:t>
      </w:r>
    </w:p>
    <w:p>
      <w:pPr>
        <w:pStyle w:val="Style17"/>
        <w:numPr>
          <w:ilvl w:val="0"/>
          <w:numId w:val="5"/>
        </w:numPr>
        <w:widowControl w:val="0"/>
        <w:keepNext w:val="0"/>
        <w:keepLines w:val="0"/>
        <w:shd w:val="clear" w:color="auto" w:fill="auto"/>
        <w:bidi w:val="0"/>
        <w:jc w:val="both"/>
        <w:spacing w:before="0" w:after="0" w:line="324" w:lineRule="exact"/>
        <w:ind w:left="20" w:right="0" w:firstLine="740"/>
      </w:pPr>
      <w:r>
        <w:rPr>
          <w:lang w:val="ru-RU" w:eastAsia="ru-RU" w:bidi="ru-RU"/>
          <w:w w:val="100"/>
          <w:spacing w:val="0"/>
          <w:color w:val="000000"/>
          <w:position w:val="0"/>
        </w:rPr>
        <w:t xml:space="preserve"> начальная (максимальная) цена контракта составила 391607.00 руб.;</w:t>
      </w:r>
    </w:p>
    <w:p>
      <w:pPr>
        <w:pStyle w:val="Style17"/>
        <w:numPr>
          <w:ilvl w:val="0"/>
          <w:numId w:val="5"/>
        </w:numPr>
        <w:widowControl w:val="0"/>
        <w:keepNext w:val="0"/>
        <w:keepLines w:val="0"/>
        <w:shd w:val="clear" w:color="auto" w:fill="auto"/>
        <w:bidi w:val="0"/>
        <w:jc w:val="both"/>
        <w:spacing w:before="0" w:after="303" w:line="324" w:lineRule="exact"/>
        <w:ind w:left="20" w:right="20" w:firstLine="740"/>
      </w:pPr>
      <w:r>
        <w:rPr>
          <w:lang w:val="ru-RU" w:eastAsia="ru-RU" w:bidi="ru-RU"/>
          <w:w w:val="100"/>
          <w:spacing w:val="0"/>
          <w:color w:val="000000"/>
          <w:position w:val="0"/>
        </w:rPr>
        <w:t xml:space="preserve"> определены дата и время окончания срока подачи заявок на участие в открытом аукционе в электронной форме 16.10.2017 в 10 часов 00 минут.</w:t>
      </w:r>
    </w:p>
    <w:p>
      <w:pPr>
        <w:pStyle w:val="Style17"/>
        <w:widowControl w:val="0"/>
        <w:keepNext w:val="0"/>
        <w:keepLines w:val="0"/>
        <w:shd w:val="clear" w:color="auto" w:fill="auto"/>
        <w:bidi w:val="0"/>
        <w:jc w:val="both"/>
        <w:spacing w:before="0" w:after="0" w:line="320" w:lineRule="exact"/>
        <w:ind w:left="20" w:right="20" w:firstLine="740"/>
      </w:pPr>
      <w:r>
        <w:rPr>
          <w:lang w:val="ru-RU" w:eastAsia="ru-RU" w:bidi="ru-RU"/>
          <w:w w:val="100"/>
          <w:spacing w:val="0"/>
          <w:color w:val="000000"/>
          <w:position w:val="0"/>
        </w:rPr>
        <w:t>Согласно п.2 ч.1 ст.64 Закона документация об электронном аукционе наряду с информацией, указанной в извещении о проведении такого аукциона, должна, в том числе, содержать требования к содержанию, составу заявки на участие в таком аукционе в соответствии с частями 3-6 статьи 66 Закона и инструкция по ее заполнению.</w:t>
      </w:r>
    </w:p>
    <w:p>
      <w:pPr>
        <w:pStyle w:val="Style17"/>
        <w:widowControl w:val="0"/>
        <w:keepNext w:val="0"/>
        <w:keepLines w:val="0"/>
        <w:shd w:val="clear" w:color="auto" w:fill="auto"/>
        <w:bidi w:val="0"/>
        <w:jc w:val="both"/>
        <w:spacing w:before="0" w:after="0" w:line="317" w:lineRule="exact"/>
        <w:ind w:left="20" w:right="20" w:firstLine="740"/>
      </w:pPr>
      <w:r>
        <w:rPr>
          <w:lang w:val="ru-RU" w:eastAsia="ru-RU" w:bidi="ru-RU"/>
          <w:w w:val="100"/>
          <w:spacing w:val="0"/>
          <w:color w:val="000000"/>
          <w:position w:val="0"/>
        </w:rPr>
        <w:t>В соответствии с ч.5 ст.66 Закона вторая часть заявки на участие в электронном аукционе должна содержать, в том числе, декларацию о соответствии участника такого аукциона требованиям, установленным пунктами 3-9 части 1 статьи 31 Закона.</w:t>
      </w:r>
    </w:p>
    <w:p>
      <w:pPr>
        <w:pStyle w:val="Style17"/>
        <w:widowControl w:val="0"/>
        <w:keepNext w:val="0"/>
        <w:keepLines w:val="0"/>
        <w:shd w:val="clear" w:color="auto" w:fill="auto"/>
        <w:bidi w:val="0"/>
        <w:jc w:val="both"/>
        <w:spacing w:before="0" w:after="0" w:line="320" w:lineRule="exact"/>
        <w:ind w:left="20" w:right="20" w:firstLine="740"/>
      </w:pPr>
      <w:r>
        <w:rPr>
          <w:lang w:val="ru-RU" w:eastAsia="ru-RU" w:bidi="ru-RU"/>
          <w:w w:val="100"/>
          <w:spacing w:val="0"/>
          <w:color w:val="000000"/>
          <w:position w:val="0"/>
        </w:rPr>
        <w:t>В п. 3.2.4. документации об аукционе Заказчик установил, что вторая часть заявки на участие в электронном аукционе должна содержать, в том числе, следующие документы и информацию:</w:t>
      </w:r>
    </w:p>
    <w:p>
      <w:pPr>
        <w:pStyle w:val="Style17"/>
        <w:widowControl w:val="0"/>
        <w:keepNext w:val="0"/>
        <w:keepLines w:val="0"/>
        <w:shd w:val="clear" w:color="auto" w:fill="auto"/>
        <w:bidi w:val="0"/>
        <w:jc w:val="both"/>
        <w:spacing w:before="0" w:after="306" w:line="320" w:lineRule="exact"/>
        <w:ind w:left="20" w:right="20" w:firstLine="740"/>
      </w:pPr>
      <w:r>
        <w:rPr>
          <w:lang w:val="ru-RU" w:eastAsia="ru-RU" w:bidi="ru-RU"/>
          <w:w w:val="100"/>
          <w:spacing w:val="0"/>
          <w:color w:val="000000"/>
          <w:position w:val="0"/>
        </w:rPr>
        <w:t>«документ, подтверждающий соответствие предлагаемых к поставке товара условиям, запретам и ограничениям, установленным заказчиком в соответствии со статьей 14 настоящего Федерального закона, или копии этих документов (к таким документам относятся декларация о происхождении товара или сертификат о происхождении товара определенными в соответствии с положениями ст. 60 и 61 Таможенного кодекса Таможенного союза)».</w:t>
      </w:r>
    </w:p>
    <w:p>
      <w:pPr>
        <w:pStyle w:val="Style17"/>
        <w:widowControl w:val="0"/>
        <w:keepNext w:val="0"/>
        <w:keepLines w:val="0"/>
        <w:shd w:val="clear" w:color="auto" w:fill="auto"/>
        <w:bidi w:val="0"/>
        <w:jc w:val="both"/>
        <w:spacing w:before="0" w:after="0" w:line="313" w:lineRule="exact"/>
        <w:ind w:left="20" w:right="20" w:firstLine="740"/>
      </w:pPr>
      <w:r>
        <w:rPr>
          <w:lang w:val="ru-RU" w:eastAsia="ru-RU" w:bidi="ru-RU"/>
          <w:w w:val="100"/>
          <w:spacing w:val="0"/>
          <w:color w:val="000000"/>
          <w:position w:val="0"/>
        </w:rPr>
        <w:t>Согласно ч.б ст.69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7"/>
        <w:numPr>
          <w:ilvl w:val="0"/>
          <w:numId w:val="7"/>
        </w:numPr>
        <w:tabs>
          <w:tab w:leader="none" w:pos="1114" w:val="left"/>
        </w:tabs>
        <w:widowControl w:val="0"/>
        <w:keepNext w:val="0"/>
        <w:keepLines w:val="0"/>
        <w:shd w:val="clear" w:color="auto" w:fill="auto"/>
        <w:bidi w:val="0"/>
        <w:jc w:val="both"/>
        <w:spacing w:before="0" w:after="0" w:line="320" w:lineRule="exact"/>
        <w:ind w:left="20" w:right="20" w:firstLine="740"/>
      </w:pPr>
      <w:r>
        <w:rPr>
          <w:lang w:val="ru-RU" w:eastAsia="ru-RU" w:bidi="ru-RU"/>
          <w:w w:val="100"/>
          <w:spacing w:val="0"/>
          <w:color w:val="000000"/>
          <w:position w:val="0"/>
        </w:rPr>
        <w:t>непредставления документов и информации, которые предусмотрены пунктами 1, 3 - 5, 7 и 8 части 2 статьи 62, частями 3 и 5 статьи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7"/>
        <w:numPr>
          <w:ilvl w:val="0"/>
          <w:numId w:val="7"/>
        </w:numPr>
        <w:tabs>
          <w:tab w:leader="none" w:pos="1435" w:val="left"/>
        </w:tabs>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несоответствия участника такого аукциона требованиям, установленным в соответствии со статьей 31 Закона.</w:t>
      </w:r>
    </w:p>
    <w:p>
      <w:pPr>
        <w:pStyle w:val="Style17"/>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В соответствии с ч.7 ст.69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17"/>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Внеплановой проверкой установлено, что Заявка Заявителя не соответствовала требованиям, установленным Заказчиком ко второй части заявки - в составе заявки отсутствовала декларация о происхождении товара или сертификат о происхождении товара определенными в соответствии с положениями ст, 60 и 61 Таможенного кодекса Таможенного союза.</w:t>
      </w:r>
    </w:p>
    <w:p>
      <w:pPr>
        <w:pStyle w:val="Style17"/>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Заявителем в составе второй части заявки представлен документ без каких-либо реквизитов за собственной электронно-цифровой подписью, из которого следует, что поставляемый товар произведен в Российской Федерации.</w:t>
      </w:r>
    </w:p>
    <w:p>
      <w:pPr>
        <w:pStyle w:val="Style17"/>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Однако, согласно правовой позиции Верховного Суда Российской Федерации по делу №А40-73550/2015, представление обществом декларации о соответствии за собственной подписью, в которой указано, что поставляемый товар произведен в Российской Федерации, не является допустимым документом, позволяющим идентифицировать товар как происходящий с территории определенного географического объекта.</w:t>
      </w:r>
    </w:p>
    <w:p>
      <w:pPr>
        <w:pStyle w:val="Style17"/>
        <w:widowControl w:val="0"/>
        <w:keepNext w:val="0"/>
        <w:keepLines w:val="0"/>
        <w:shd w:val="clear" w:color="auto" w:fill="auto"/>
        <w:bidi w:val="0"/>
        <w:jc w:val="both"/>
        <w:spacing w:before="0" w:after="0" w:line="324" w:lineRule="exact"/>
        <w:ind w:left="20" w:right="20" w:firstLine="740"/>
      </w:pPr>
      <w:r>
        <w:rPr>
          <w:lang w:val="ru-RU" w:eastAsia="ru-RU" w:bidi="ru-RU"/>
          <w:w w:val="100"/>
          <w:spacing w:val="0"/>
          <w:color w:val="000000"/>
          <w:position w:val="0"/>
        </w:rPr>
        <w:t>Аукционная комиссия Заказчика, принимая решение о несоответствии заявки, поданной Заявителем, на участие в электронном аукционе требованиям, установленным документацией об аукционе и требованиям Закона, действовала в соответствии с ч.б ст.69 Закона. Довод жалобы Заявителя следует признать необоснованным.</w:t>
      </w:r>
    </w:p>
    <w:p>
      <w:pPr>
        <w:pStyle w:val="Style17"/>
        <w:widowControl w:val="0"/>
        <w:keepNext w:val="0"/>
        <w:keepLines w:val="0"/>
        <w:shd w:val="clear" w:color="auto" w:fill="auto"/>
        <w:bidi w:val="0"/>
        <w:jc w:val="both"/>
        <w:spacing w:before="0" w:after="324" w:line="310" w:lineRule="exact"/>
        <w:ind w:left="20" w:right="20" w:firstLine="74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24"/>
        <w:widowControl w:val="0"/>
        <w:keepNext w:val="0"/>
        <w:keepLines w:val="0"/>
        <w:shd w:val="clear" w:color="auto" w:fill="auto"/>
        <w:bidi w:val="0"/>
        <w:spacing w:before="0" w:after="250" w:line="280" w:lineRule="exact"/>
        <w:ind w:left="0" w:right="0" w:firstLine="0"/>
      </w:pPr>
      <w:r>
        <w:rPr>
          <w:lang w:val="ru-RU" w:eastAsia="ru-RU" w:bidi="ru-RU"/>
          <w:w w:val="100"/>
          <w:spacing w:val="0"/>
          <w:color w:val="000000"/>
          <w:position w:val="0"/>
        </w:rPr>
        <w:t>РЕШИЛА:</w:t>
      </w:r>
    </w:p>
    <w:p>
      <w:pPr>
        <w:pStyle w:val="Style17"/>
        <w:numPr>
          <w:ilvl w:val="0"/>
          <w:numId w:val="9"/>
        </w:numPr>
        <w:widowControl w:val="0"/>
        <w:keepNext w:val="0"/>
        <w:keepLines w:val="0"/>
        <w:shd w:val="clear" w:color="auto" w:fill="auto"/>
        <w:bidi w:val="0"/>
        <w:jc w:val="both"/>
        <w:spacing w:before="0" w:after="0" w:line="324" w:lineRule="exact"/>
        <w:ind w:left="20" w:right="0" w:firstLine="740"/>
      </w:pPr>
      <w:r>
        <w:rPr>
          <w:lang w:val="ru-RU" w:eastAsia="ru-RU" w:bidi="ru-RU"/>
          <w:w w:val="100"/>
          <w:spacing w:val="0"/>
          <w:color w:val="000000"/>
          <w:position w:val="0"/>
        </w:rPr>
        <w:t xml:space="preserve"> Признать жалобу Заявителя необоснованной.</w:t>
      </w:r>
    </w:p>
    <w:p>
      <w:pPr>
        <w:pStyle w:val="Style17"/>
        <w:numPr>
          <w:ilvl w:val="0"/>
          <w:numId w:val="9"/>
        </w:numPr>
        <w:widowControl w:val="0"/>
        <w:keepNext w:val="0"/>
        <w:keepLines w:val="0"/>
        <w:shd w:val="clear" w:color="auto" w:fill="auto"/>
        <w:bidi w:val="0"/>
        <w:jc w:val="both"/>
        <w:spacing w:before="0" w:after="0" w:line="324" w:lineRule="exact"/>
        <w:ind w:left="1100" w:right="20"/>
      </w:pPr>
      <w:r>
        <w:rPr>
          <w:lang w:val="ru-RU" w:eastAsia="ru-RU" w:bidi="ru-RU"/>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 дальнейших действий, предусмотренных Законом, по аукциону.</w:t>
      </w:r>
    </w:p>
    <w:p>
      <w:pPr>
        <w:pStyle w:val="Style17"/>
        <w:widowControl w:val="0"/>
        <w:keepNext w:val="0"/>
        <w:keepLines w:val="0"/>
        <w:shd w:val="clear" w:color="auto" w:fill="auto"/>
        <w:bidi w:val="0"/>
        <w:jc w:val="both"/>
        <w:spacing w:before="0" w:after="951" w:line="324" w:lineRule="exact"/>
        <w:ind w:left="20" w:right="20" w:firstLine="74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left"/>
        <w:spacing w:before="0" w:after="294" w:line="260" w:lineRule="exact"/>
        <w:ind w:left="20" w:right="0" w:firstLine="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343" w:left="626" w:right="626" w:bottom="637" w:header="0" w:footer="3" w:gutter="23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8.11.%1"/>
      <w:rPr>
        <w:lang w:val="ru-RU" w:eastAsia="ru-RU" w:bidi="ru-RU"/>
        <w:b/>
        <w:bCs/>
        <w:i w:val="0"/>
        <w:iCs w:val="0"/>
        <w:u w:val="none"/>
        <w:strike w:val="0"/>
        <w:smallCaps w:val="0"/>
        <w:sz w:val="28"/>
        <w:szCs w:val="28"/>
        <w:rFonts w:ascii="Times New Roman" w:eastAsia="Times New Roman" w:hAnsi="Times New Roman" w:cs="Times New Roman"/>
        <w:w w:val="100"/>
        <w:spacing w:val="-10"/>
        <w:color w:val="000000"/>
        <w:position w:val="0"/>
      </w:rPr>
    </w:lvl>
  </w:abstractNum>
  <w:abstractNum w:abstractNumId="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2_"/>
    <w:basedOn w:val="DefaultParagraphFont"/>
    <w:link w:val="Style9"/>
    <w:rPr>
      <w:b/>
      <w:bCs/>
      <w:i w:val="0"/>
      <w:iCs w:val="0"/>
      <w:u w:val="none"/>
      <w:strike w:val="0"/>
      <w:smallCaps w:val="0"/>
      <w:sz w:val="28"/>
      <w:szCs w:val="28"/>
      <w:rFonts w:ascii="Times New Roman" w:eastAsia="Times New Roman" w:hAnsi="Times New Roman" w:cs="Times New Roman"/>
      <w:spacing w:val="-10"/>
    </w:rPr>
  </w:style>
  <w:style w:type="character" w:customStyle="1" w:styleId="CharStyle11">
    <w:name w:val="Заголовок №2 + 12 pt,Не полужирный,Интервал -2 pt"/>
    <w:basedOn w:val="CharStyle10"/>
    <w:rPr>
      <w:lang w:val="ru-RU" w:eastAsia="ru-RU" w:bidi="ru-RU"/>
      <w:b/>
      <w:bCs/>
      <w:strike/>
      <w:sz w:val="24"/>
      <w:szCs w:val="24"/>
      <w:w w:val="100"/>
      <w:spacing w:val="-50"/>
      <w:color w:val="000000"/>
      <w:position w:val="0"/>
    </w:rPr>
  </w:style>
  <w:style w:type="character" w:customStyle="1" w:styleId="CharStyle12">
    <w:name w:val="Заголовок №2"/>
    <w:basedOn w:val="CharStyle10"/>
    <w:rPr>
      <w:lang w:val="ru-RU" w:eastAsia="ru-RU" w:bidi="ru-RU"/>
      <w:strike/>
      <w:w w:val="100"/>
      <w:color w:val="000000"/>
      <w:position w:val="0"/>
    </w:rPr>
  </w:style>
  <w:style w:type="character" w:customStyle="1" w:styleId="CharStyle13">
    <w:name w:val="Заголовок №2 + 12 pt,Не полужирный,Интервал -2 pt"/>
    <w:basedOn w:val="CharStyle10"/>
    <w:rPr>
      <w:lang w:val="ru-RU" w:eastAsia="ru-RU" w:bidi="ru-RU"/>
      <w:b/>
      <w:bCs/>
      <w:sz w:val="24"/>
      <w:szCs w:val="24"/>
      <w:w w:val="100"/>
      <w:spacing w:val="-5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15"/>
      <w:szCs w:val="15"/>
      <w:rFonts w:ascii="Times New Roman" w:eastAsia="Times New Roman" w:hAnsi="Times New Roman" w:cs="Times New Roman"/>
    </w:rPr>
  </w:style>
  <w:style w:type="character" w:customStyle="1" w:styleId="CharStyle16">
    <w:name w:val="Основной текст (5) + 11 pt"/>
    <w:basedOn w:val="CharStyle15"/>
    <w:rPr>
      <w:lang w:val="ru-RU" w:eastAsia="ru-RU" w:bidi="ru-RU"/>
      <w:sz w:val="22"/>
      <w:szCs w:val="22"/>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2 (2)_"/>
    <w:basedOn w:val="DefaultParagraphFont"/>
    <w:link w:val="Style19"/>
    <w:rPr>
      <w:b w:val="0"/>
      <w:bCs w:val="0"/>
      <w:i w:val="0"/>
      <w:iCs w:val="0"/>
      <w:u w:val="none"/>
      <w:strike w:val="0"/>
      <w:smallCaps w:val="0"/>
      <w:sz w:val="28"/>
      <w:szCs w:val="28"/>
      <w:rFonts w:ascii="Times New Roman" w:eastAsia="Times New Roman" w:hAnsi="Times New Roman" w:cs="Times New Roman"/>
    </w:rPr>
  </w:style>
  <w:style w:type="character" w:customStyle="1" w:styleId="CharStyle22">
    <w:name w:val="Заголовок №1_"/>
    <w:basedOn w:val="DefaultParagraphFont"/>
    <w:link w:val="Style21"/>
    <w:rPr>
      <w:b w:val="0"/>
      <w:bCs w:val="0"/>
      <w:i w:val="0"/>
      <w:iCs w:val="0"/>
      <w:u w:val="none"/>
      <w:strike w:val="0"/>
      <w:smallCaps w:val="0"/>
      <w:sz w:val="34"/>
      <w:szCs w:val="34"/>
      <w:rFonts w:ascii="Times New Roman" w:eastAsia="Times New Roman" w:hAnsi="Times New Roman" w:cs="Times New Roman"/>
    </w:rPr>
  </w:style>
  <w:style w:type="character" w:customStyle="1" w:styleId="CharStyle23">
    <w:name w:val="Заголовок №1"/>
    <w:basedOn w:val="CharStyle22"/>
    <w:rPr>
      <w:lang w:val="1024"/>
      <w:w w:val="100"/>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sz w:val="28"/>
      <w:szCs w:val="28"/>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8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266"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80" w:after="48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jc w:val="both"/>
      <w:outlineLvl w:val="1"/>
      <w:spacing w:before="480" w:after="180" w:line="0" w:lineRule="exact"/>
    </w:pPr>
    <w:rPr>
      <w:b/>
      <w:bCs/>
      <w:i w:val="0"/>
      <w:iCs w:val="0"/>
      <w:u w:val="none"/>
      <w:strike w:val="0"/>
      <w:smallCaps w:val="0"/>
      <w:sz w:val="28"/>
      <w:szCs w:val="28"/>
      <w:rFonts w:ascii="Times New Roman" w:eastAsia="Times New Roman" w:hAnsi="Times New Roman" w:cs="Times New Roman"/>
      <w:spacing w:val="-10"/>
    </w:rPr>
  </w:style>
  <w:style w:type="paragraph" w:customStyle="1" w:styleId="Style14">
    <w:name w:val="Основной текст (5)"/>
    <w:basedOn w:val="Normal"/>
    <w:link w:val="CharStyle15"/>
    <w:pPr>
      <w:widowControl w:val="0"/>
      <w:shd w:val="clear" w:color="auto" w:fill="FFFFFF"/>
      <w:jc w:val="both"/>
      <w:spacing w:before="18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line="328" w:lineRule="exact"/>
      <w:ind w:hanging="360"/>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Заголовок №2 (2)"/>
    <w:basedOn w:val="Normal"/>
    <w:link w:val="CharStyle20"/>
    <w:pPr>
      <w:widowControl w:val="0"/>
      <w:shd w:val="clear" w:color="auto" w:fill="FFFFFF"/>
      <w:outlineLvl w:val="1"/>
      <w:spacing w:after="36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both"/>
      <w:outlineLvl w:val="0"/>
      <w:spacing w:before="2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center"/>
      <w:spacing w:before="300" w:after="360" w:line="0" w:lineRule="exact"/>
    </w:pPr>
    <w:rPr>
      <w:b w:val="0"/>
      <w:bCs w:val="0"/>
      <w:i w:val="0"/>
      <w:iCs w:val="0"/>
      <w:u w:val="none"/>
      <w:strike w:val="0"/>
      <w:smallCaps w:val="0"/>
      <w:sz w:val="28"/>
      <w:szCs w:val="2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