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76" w:left="2824" w:right="8109" w:bottom="305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78" w:lineRule="exact"/>
        <w:rPr>
          <w:sz w:val="6"/>
          <w:szCs w:val="6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24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 Федеральной антимонопольной службы по Ханты-Мансийскому автономному округу - Югре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88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Мира д. 27, г. Ханты-Мансийск, 628002 телефон/факс +7-3467-388081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"mailto:to86@fas.gov.ru"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to86@fas.gov.ru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сайт: </w:t>
      </w:r>
      <w:r>
        <w:fldChar w:fldCharType="begin"/>
      </w:r>
      <w:r>
        <w:rPr>
          <w:color w:val="000000"/>
        </w:rPr>
        <w:instrText> HYPERLINK "http://hmao.fas.gov.ru"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http://hmao.fas.gov.ru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40" w:right="0" w:firstLine="0"/>
      </w:pPr>
      <w:r>
        <w:rPr>
          <w:rStyle w:val="CharStyle9"/>
        </w:rPr>
        <w:t xml:space="preserve">/&lt;?. </w:t>
      </w:r>
      <w:r>
        <w:rPr>
          <w:rStyle w:val="CharStyle10"/>
        </w:rPr>
        <w:t>SS</w:t>
      </w:r>
      <w:r>
        <w:rPr>
          <w:rStyle w:val="CharStyle11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оз/па- </w:t>
      </w:r>
      <w:r>
        <w:rPr>
          <w:rStyle w:val="CharStyle12"/>
        </w:rPr>
        <w:t>&lt;£РЗ 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400 "Запсиб-безопасность"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0" w:right="0" w:firstLine="0"/>
        <w:sectPr>
          <w:type w:val="continuous"/>
          <w:pgSz w:w="11906" w:h="16838"/>
          <w:pgMar w:top="276" w:left="1309" w:right="1424" w:bottom="305" w:header="0" w:footer="3" w:gutter="0"/>
          <w:rtlGutter w:val="0"/>
          <w:cols w:num="2" w:space="842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628181,Ханты-Мансийский автономный округ — Югра, г.Нягань, 2 мкр., д.40</w:t>
      </w:r>
    </w:p>
    <w:p>
      <w:pPr>
        <w:widowControl w:val="0"/>
        <w:spacing w:before="43" w:after="4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Ханты-Мансийское У ФАС России поступила жалоба ООО 400 "Запсиб-безопасность" №1740-ж от 09.11.2017 на действия Заказчика — БУ "НЯГАНСКАЯ ОКРУЖНАЯ БОЛЬНИЦА" при проведении электронного аукциона, предметом которого является оказание услуг охраны (извещение №03 87200001417000218).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7 статьи 105 Федерального закона от 05.04.2013 №44-ФЗ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6 Федерального закона от 06.04.2011г. № 63-ФЗ "Об электронной подписи"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жалоба, подаваемая посредством факса или в форме электронного документа без использования электронной подписи не будет соответствовать требованиям Закона о контрактной системе.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Вышеуказанное подтверждается письмом Министерства экономического развития РФ от 06.05.2014 №10073-ЕЕ/Д28.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жалоба ООО 400 "Запсиб-безопасность" №1740-ж от 09.11.2017 направлена в электронной форме и не подписана электронно-цифровой подписью.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11 статьи 105 Закона о контрактной системе, Ханты-Мансийское У ФАС России возвращает жалобу ООО 400 "Запсиб-безопасность" №1740-ж от 09.11.2017 без рассмотрения по существу, поскольку данная жалоба направлена в электронной форме и не подписана электронно-цифровой подписью.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доводам ООО 400 "Запсиб-безопасность" о нарушении Заказчиком порядка расчета начальной (максимальной) цены контракта Ханты-Мансийское У ФАС России отмечает следующее.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4астью 1 статьи 99 Закона о контрактной системе установлено, что в соответствии с настоящим Федеральным законом и иными нормативными правовыми актами, правовыми актами, определяющими функции и полномочия государственных органов и муниципальных органов, контроль в сфере закупок осуществляют следующие органы контроля в пределах их полномочий:</w:t>
      </w:r>
    </w:p>
    <w:p>
      <w:pPr>
        <w:pStyle w:val="Style7"/>
        <w:numPr>
          <w:ilvl w:val="0"/>
          <w:numId w:val="1"/>
        </w:numPr>
        <w:tabs>
          <w:tab w:leader="none" w:pos="110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федеральный орган исполнительной власти, уполномоченный на осуществление контроля в сфере закупок, контрольный орган в сфере государственного оборонного заказа,</w:t>
      </w:r>
      <w:r>
        <w:br w:type="page"/>
      </w:r>
    </w:p>
    <w:p>
      <w:pPr>
        <w:pStyle w:val="Style7"/>
        <w:tabs>
          <w:tab w:leader="none" w:pos="3452" w:val="center"/>
          <w:tab w:leader="none" w:pos="5018" w:val="right"/>
          <w:tab w:leader="none" w:pos="5186" w:val="left"/>
          <w:tab w:leader="none" w:pos="7850" w:val="right"/>
          <w:tab w:leader="none" w:pos="1009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органы исполнительной</w:t>
        <w:tab/>
        <w:t>власти</w:t>
        <w:tab/>
        <w:t>субъекта</w:t>
        <w:tab/>
        <w:t>Российской</w:t>
        <w:tab/>
        <w:t>Федерации,</w:t>
        <w:tab/>
        <w:t>органы местного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самоуправления муниципального района, органы местного самоуправления городского округа, уполномоченные на осуществление контроля в сфере закупок;</w:t>
      </w:r>
    </w:p>
    <w:p>
      <w:pPr>
        <w:pStyle w:val="Style7"/>
        <w:numPr>
          <w:ilvl w:val="0"/>
          <w:numId w:val="1"/>
        </w:numPr>
        <w:tabs>
          <w:tab w:leader="none" w:pos="7850" w:val="right"/>
          <w:tab w:leader="none" w:pos="1009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федеральный орган исполнительной власти, осуществляющий правоприменительные функции по кассовому обслуживанию исполнения бюджетов</w:t>
        <w:tab/>
        <w:t>бюджетной</w:t>
        <w:tab/>
        <w:t>системы Российской</w:t>
      </w:r>
    </w:p>
    <w:p>
      <w:pPr>
        <w:pStyle w:val="Style7"/>
        <w:tabs>
          <w:tab w:leader="none" w:pos="3452" w:val="center"/>
          <w:tab w:leader="none" w:pos="5018" w:val="right"/>
          <w:tab w:leader="none" w:pos="10091" w:val="right"/>
          <w:tab w:leader="none" w:pos="1008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Федерации, финансовые</w:t>
        <w:tab/>
        <w:t>органы</w:t>
        <w:tab/>
        <w:t>субъектов Российской</w:t>
        <w:tab/>
        <w:t>Федерации</w:t>
        <w:tab/>
        <w:t>и муниципальных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образований, органы управления государственными внебюджетными фондами;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органы внутреннего государственного (муниципального) финансового контроля, определенные в соответствии с Бюджетным кодексом Российской Федерации.</w:t>
      </w:r>
    </w:p>
    <w:p>
      <w:pPr>
        <w:pStyle w:val="Style7"/>
        <w:tabs>
          <w:tab w:leader="none" w:pos="3452" w:val="center"/>
          <w:tab w:leader="none" w:pos="5018" w:val="right"/>
          <w:tab w:leader="none" w:pos="5186" w:val="left"/>
          <w:tab w:leader="none" w:pos="1009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3</w:t>
        <w:tab/>
        <w:t>статьи</w:t>
        <w:tab/>
        <w:t>99 Закона</w:t>
        <w:tab/>
        <w:t>о контрактной системе</w:t>
        <w:tab/>
        <w:t>федеральный орган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исполнительной власти, уполномоченный на осуществление контроля в сфере закупок, осуществляет контроль в сфере закупок, за исключением контроля, предусмотренного частями 5, 8 и 10 настоящей статьи, с учетом части 4 настоящей статьи.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Пунктами 1, 3 части 8 статьи 99 Закона о контрактной системе установлено, что контроль (за исключением контроля, предусмотренного частью 10 настоящей статьи) в отношении соблюдения требований к обоснованию закупок, предусмотренных статьей 18 настоящего Федерального закона, и обоснованности закупок, обоснования начальной (максимальной) цены контракта, цены контракта, заключаемого с единственным поставщиком (подрядчиком, исполнителем), включенной в план-график, осуществляют органы внутреннего государственного (муниципального) финансового контроля.</w:t>
      </w:r>
    </w:p>
    <w:p>
      <w:pPr>
        <w:pStyle w:val="Style7"/>
        <w:framePr w:h="210" w:wrap="around" w:vAnchor="text" w:hAnchor="margin" w:x="8461" w:y="-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3"/>
          <w:spacing w:val="0"/>
        </w:rPr>
        <w:t>А.В. Демкин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769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Руководитель Управления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Исполнитель Плеханов А.Н.</w:t>
      </w:r>
    </w:p>
    <w:sectPr>
      <w:type w:val="continuous"/>
      <w:pgSz w:w="11906" w:h="16838"/>
      <w:pgMar w:top="663" w:left="901" w:right="885" w:bottom="69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Основной текст + Verdana,10,5 pt,Курсив,Интервал -2 pt"/>
    <w:basedOn w:val="CharStyle8"/>
    <w:rPr>
      <w:lang w:val="ru-RU" w:eastAsia="ru-RU" w:bidi="ru-RU"/>
      <w:i/>
      <w:iCs/>
      <w:u w:val="single"/>
      <w:sz w:val="21"/>
      <w:szCs w:val="21"/>
      <w:rFonts w:ascii="Verdana" w:eastAsia="Verdana" w:hAnsi="Verdana" w:cs="Verdana"/>
      <w:w w:val="100"/>
      <w:spacing w:val="-40"/>
      <w:color w:val="000000"/>
      <w:position w:val="0"/>
    </w:rPr>
  </w:style>
  <w:style w:type="character" w:customStyle="1" w:styleId="CharStyle10">
    <w:name w:val="Основной текст + Verdana,13 pt,Полужирный,Курсив,Интервал -1 pt"/>
    <w:basedOn w:val="CharStyle8"/>
    <w:rPr>
      <w:lang w:val="en-US" w:eastAsia="en-US" w:bidi="en-US"/>
      <w:b/>
      <w:bCs/>
      <w:i/>
      <w:iCs/>
      <w:u w:val="single"/>
      <w:sz w:val="26"/>
      <w:szCs w:val="26"/>
      <w:rFonts w:ascii="Verdana" w:eastAsia="Verdana" w:hAnsi="Verdana" w:cs="Verdana"/>
      <w:w w:val="100"/>
      <w:spacing w:val="-30"/>
      <w:color w:val="000000"/>
      <w:position w:val="0"/>
    </w:rPr>
  </w:style>
  <w:style w:type="character" w:customStyle="1" w:styleId="CharStyle11">
    <w:name w:val="Основной текст + 16 pt"/>
    <w:basedOn w:val="CharStyle8"/>
    <w:rPr>
      <w:lang w:val="en-US" w:eastAsia="en-US" w:bidi="en-US"/>
      <w:sz w:val="32"/>
      <w:szCs w:val="32"/>
      <w:w w:val="100"/>
      <w:spacing w:val="0"/>
      <w:color w:val="000000"/>
      <w:position w:val="0"/>
    </w:rPr>
  </w:style>
  <w:style w:type="character" w:customStyle="1" w:styleId="CharStyle12">
    <w:name w:val="Основной текст + Verdana,13 pt,Полужирный,Курсив,Интервал -1 pt"/>
    <w:basedOn w:val="CharStyle8"/>
    <w:rPr>
      <w:lang w:val="ru-RU" w:eastAsia="ru-RU" w:bidi="ru-RU"/>
      <w:b/>
      <w:bCs/>
      <w:i/>
      <w:iCs/>
      <w:sz w:val="26"/>
      <w:szCs w:val="26"/>
      <w:rFonts w:ascii="Verdana" w:eastAsia="Verdana" w:hAnsi="Verdana" w:cs="Verdana"/>
      <w:w w:val="100"/>
      <w:spacing w:val="-30"/>
      <w:color w:val="000000"/>
      <w:position w:val="0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7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60" w:line="28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60" w:after="180" w:line="205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