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94" w:left="2674" w:right="8127" w:bottom="913"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03" w:val="left"/>
        </w:tabs>
        <w:widowControl w:val="0"/>
        <w:keepNext w:val="0"/>
        <w:keepLines w:val="0"/>
        <w:shd w:val="clear" w:color="auto" w:fill="auto"/>
        <w:bidi w:val="0"/>
        <w:jc w:val="left"/>
        <w:spacing w:before="0" w:after="0"/>
        <w:ind w:left="20" w:right="2040" w:firstLine="0"/>
      </w:pPr>
      <w:r>
        <w:rPr>
          <w:lang w:val="ru-RU" w:eastAsia="ru-RU" w:bidi="ru-RU"/>
          <w:w w:val="100"/>
          <w:spacing w:val="0"/>
          <w:color w:val="000000"/>
          <w:position w:val="0"/>
        </w:rPr>
        <w:t>№06/12593 На № б/н от 30.10.2017</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17" w:lineRule="exact"/>
        <w:ind w:left="20" w:right="500" w:firstLine="0"/>
      </w:pPr>
      <w:r>
        <w:rPr>
          <w:lang w:val="ru-RU" w:eastAsia="ru-RU" w:bidi="ru-RU"/>
          <w:w w:val="100"/>
          <w:spacing w:val="0"/>
          <w:color w:val="000000"/>
          <w:position w:val="0"/>
        </w:rPr>
        <w:t>Администрация Зыбинского сельского поселения Белогорского Района Республики Крым</w:t>
      </w:r>
    </w:p>
    <w:p>
      <w:pPr>
        <w:pStyle w:val="Style7"/>
        <w:widowControl w:val="0"/>
        <w:keepNext w:val="0"/>
        <w:keepLines w:val="0"/>
        <w:shd w:val="clear" w:color="auto" w:fill="auto"/>
        <w:bidi w:val="0"/>
        <w:jc w:val="left"/>
        <w:spacing w:before="0" w:after="346" w:line="317" w:lineRule="exact"/>
        <w:ind w:left="20" w:right="60" w:firstLine="0"/>
      </w:pPr>
      <w:r>
        <w:rPr>
          <w:lang w:val="ru-RU" w:eastAsia="ru-RU" w:bidi="ru-RU"/>
          <w:w w:val="100"/>
          <w:spacing w:val="0"/>
          <w:color w:val="000000"/>
          <w:position w:val="0"/>
        </w:rPr>
        <w:t>297610, Республика Крым, Белогорский р- н, с. Зыбины, ул. Кирова, дом 13</w:t>
      </w:r>
    </w:p>
    <w:p>
      <w:pPr>
        <w:pStyle w:val="Style7"/>
        <w:numPr>
          <w:ilvl w:val="0"/>
          <w:numId w:val="3"/>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300" w:line="317" w:lineRule="exact"/>
        <w:ind w:left="20" w:right="60" w:firstLine="0"/>
      </w:pPr>
      <w:r>
        <w:rPr>
          <w:lang w:val="ru-RU" w:eastAsia="ru-RU" w:bidi="ru-RU"/>
          <w:w w:val="100"/>
          <w:spacing w:val="0"/>
          <w:color w:val="000000"/>
          <w:position w:val="0"/>
        </w:rPr>
        <w:t>Общество с ограниченной ответственностью «Симгидросервис» 295493, г. Симферополь, пос. Гресовский, ул. Кржижановского, 1, кв. 16</w:t>
      </w:r>
    </w:p>
    <w:p>
      <w:pPr>
        <w:pStyle w:val="Style7"/>
        <w:numPr>
          <w:ilvl w:val="0"/>
          <w:numId w:val="3"/>
        </w:numPr>
        <w:widowControl w:val="0"/>
        <w:keepNext w:val="0"/>
        <w:keepLines w:val="0"/>
        <w:shd w:val="clear" w:color="auto" w:fill="auto"/>
        <w:bidi w:val="0"/>
        <w:jc w:val="left"/>
        <w:spacing w:before="0" w:after="0" w:line="317" w:lineRule="exact"/>
        <w:ind w:left="20" w:right="6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0" w:line="322" w:lineRule="exact"/>
        <w:ind w:left="20" w:right="60" w:firstLine="0"/>
        <w:sectPr>
          <w:type w:val="continuous"/>
          <w:pgSz w:w="11906" w:h="16838"/>
          <w:pgMar w:top="894" w:left="858" w:right="1050" w:bottom="913" w:header="0" w:footer="3" w:gutter="0"/>
          <w:rtlGutter w:val="0"/>
          <w:cols w:num="2" w:space="102"/>
          <w:noEndnote/>
          <w:docGrid w:linePitch="360"/>
        </w:sectPr>
      </w:pPr>
      <w:r>
        <w:rPr>
          <w:lang w:val="ru-RU" w:eastAsia="ru-RU" w:bidi="ru-RU"/>
          <w:w w:val="100"/>
          <w:spacing w:val="0"/>
          <w:color w:val="000000"/>
          <w:position w:val="0"/>
        </w:rPr>
        <w:t>121151, г. Москва, наб. Тараса Шевченко, д. 23А, сектор В, 25 этаж</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по делу №06/4132-17 о нарушении законодательства Российской Федерации о контрактной системе в сфере закупок</w:t>
      </w:r>
    </w:p>
    <w:p>
      <w:pPr>
        <w:pStyle w:val="Style7"/>
        <w:framePr w:h="260" w:wrap="around" w:vAnchor="text" w:hAnchor="margin" w:x="15" w:y="-10"/>
        <w:widowControl w:val="0"/>
        <w:keepNext w:val="0"/>
        <w:keepLines w:val="0"/>
        <w:shd w:val="clear" w:color="auto" w:fill="auto"/>
        <w:bidi w:val="0"/>
        <w:jc w:val="left"/>
        <w:spacing w:before="0" w:after="0" w:line="260" w:lineRule="exact"/>
        <w:ind w:left="0" w:right="0" w:firstLine="0"/>
      </w:pPr>
      <w:r>
        <w:rPr>
          <w:rStyle w:val="CharStyle9"/>
        </w:rPr>
        <w:t>02.11.2017</w:t>
      </w:r>
    </w:p>
    <w:p>
      <w:pPr>
        <w:pStyle w:val="Style7"/>
        <w:tabs>
          <w:tab w:leader="none" w:pos="6736" w:val="left"/>
        </w:tabs>
        <w:widowControl w:val="0"/>
        <w:keepNext w:val="0"/>
        <w:keepLines w:val="0"/>
        <w:shd w:val="clear" w:color="auto" w:fill="auto"/>
        <w:bidi w:val="0"/>
        <w:jc w:val="both"/>
        <w:spacing w:before="0" w:after="188" w:line="260" w:lineRule="exact"/>
        <w:ind w:left="646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Заказчика Т.А. Книжник (главы Администрации Зыбинского сельского поселения),</w:t>
      </w:r>
      <w:r>
        <w:br w:type="page"/>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Заявителя Е. А. Терлецкой (по доверенности), —</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рассмотрев жалобу Заявителя от 30.10.2017 (вх. №4730/09 от 30.10.2017) на действия Аукционной комиссии Заказчика при проведении электронного аукциона «Капитальный ремонт общежития Белогорский район с. Зыбины ул. Кирова, 12» (номер извещения 0175300021817000010)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Аукционной комиссии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Аукционной комиссии Заказчика,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30.10.2017 №06/12374,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12.10.2017;</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- 2 036 050,00 рублей;</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20.10.2017 10:00, дата окончания срока рассмотрения первых частей заявок участников: 23.10.2017, дата проведения Аукциона: 26.10.2017;</w:t>
      </w:r>
    </w:p>
    <w:p>
      <w:pPr>
        <w:pStyle w:val="Style7"/>
        <w:numPr>
          <w:ilvl w:val="0"/>
          <w:numId w:val="5"/>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на участие в Аукционе подана 5 заявок, из них 2 заявки признаны не соответствующими документации об Аукционе и Закону о контрактной системе - заявка под номером «2» (Заявитель);</w:t>
      </w:r>
    </w:p>
    <w:p>
      <w:pPr>
        <w:pStyle w:val="Style7"/>
        <w:numPr>
          <w:ilvl w:val="0"/>
          <w:numId w:val="5"/>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при проведении Аукциона предложения о цене контракта подавали 2 участника, снижение от начальной (максимальной) цены контракта составило 1,50%;</w:t>
      </w:r>
    </w:p>
    <w:p>
      <w:pPr>
        <w:pStyle w:val="Style7"/>
        <w:numPr>
          <w:ilvl w:val="0"/>
          <w:numId w:val="5"/>
        </w:numPr>
        <w:widowControl w:val="0"/>
        <w:keepNext w:val="0"/>
        <w:keepLines w:val="0"/>
        <w:shd w:val="clear" w:color="auto" w:fill="auto"/>
        <w:bidi w:val="0"/>
        <w:jc w:val="both"/>
        <w:spacing w:before="0" w:after="176" w:line="317" w:lineRule="exact"/>
        <w:ind w:left="0" w:right="20" w:firstLine="860"/>
      </w:pPr>
      <w:r>
        <w:rPr>
          <w:lang w:val="ru-RU" w:eastAsia="ru-RU" w:bidi="ru-RU"/>
          <w:w w:val="100"/>
          <w:spacing w:val="0"/>
          <w:color w:val="000000"/>
          <w:position w:val="0"/>
        </w:rPr>
        <w:t xml:space="preserve"> победителем Аукцион признано ООО «Пластокнасервис» с предложенной ценой контракта 2 005 509,25 рублей.</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качестве довода жалобы Заявитель указывает на то, что Аукционная комиссия Заказчика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5"/>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12"/>
        <w:framePr w:w="10066"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В соответствии с протоколом рассмотрения заявок на участие в электронном аукционе от 23.10.2017 №0175300021717000010-1 закупки с порядковым номером заявки «2» (Заявитель) отказано в допуске к участию в Аукционе по причине: «...</w:t>
      </w:r>
    </w:p>
    <w:tbl>
      <w:tblPr>
        <w:tblOverlap w:val="never"/>
        <w:tblLayout w:type="fixed"/>
        <w:jc w:val="center"/>
      </w:tblPr>
      <w:tblGrid>
        <w:gridCol w:w="1272"/>
        <w:gridCol w:w="3067"/>
        <w:gridCol w:w="2630"/>
        <w:gridCol w:w="3096"/>
      </w:tblGrid>
      <w:tr>
        <w:trPr>
          <w:trHeight w:val="658" w:hRule="exact"/>
        </w:trPr>
        <w:tc>
          <w:tcPr>
            <w:shd w:val="clear" w:color="auto" w:fill="FFFFFF"/>
            <w:tcBorders>
              <w:left w:val="single" w:sz="4"/>
              <w:top w:val="single" w:sz="4"/>
            </w:tcBorders>
            <w:vAlign w:val="bottom"/>
          </w:tcPr>
          <w:p>
            <w:pPr>
              <w:pStyle w:val="Style7"/>
              <w:framePr w:w="10066" w:wrap="notBeside" w:vAnchor="text" w:hAnchor="text" w:xAlign="center" w:y="1"/>
              <w:widowControl w:val="0"/>
              <w:keepNext w:val="0"/>
              <w:keepLines w:val="0"/>
              <w:shd w:val="clear" w:color="auto" w:fill="auto"/>
              <w:bidi w:val="0"/>
              <w:jc w:val="center"/>
              <w:spacing w:before="0" w:after="60" w:line="240" w:lineRule="exact"/>
              <w:ind w:left="0" w:right="0" w:firstLine="0"/>
            </w:pPr>
            <w:r>
              <w:rPr>
                <w:rStyle w:val="CharStyle17"/>
              </w:rPr>
              <w:t>№</w:t>
            </w:r>
          </w:p>
          <w:p>
            <w:pPr>
              <w:pStyle w:val="Style7"/>
              <w:framePr w:w="10066" w:wrap="notBeside" w:vAnchor="text" w:hAnchor="text" w:xAlign="center" w:y="1"/>
              <w:widowControl w:val="0"/>
              <w:keepNext w:val="0"/>
              <w:keepLines w:val="0"/>
              <w:shd w:val="clear" w:color="auto" w:fill="auto"/>
              <w:bidi w:val="0"/>
              <w:jc w:val="center"/>
              <w:spacing w:before="60" w:after="0" w:line="240" w:lineRule="exact"/>
              <w:ind w:left="0" w:right="0" w:firstLine="0"/>
            </w:pPr>
            <w:r>
              <w:rPr>
                <w:rStyle w:val="CharStyle17"/>
              </w:rPr>
              <w:t>п/п</w:t>
            </w:r>
          </w:p>
        </w:tc>
        <w:tc>
          <w:tcPr>
            <w:shd w:val="clear" w:color="auto" w:fill="FFFFFF"/>
            <w:tcBorders>
              <w:left w:val="single" w:sz="4"/>
              <w:top w:val="single" w:sz="4"/>
            </w:tcBorders>
            <w:vAlign w:val="bottom"/>
          </w:tcPr>
          <w:p>
            <w:pPr>
              <w:pStyle w:val="Style7"/>
              <w:framePr w:w="10066"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7"/>
              </w:rPr>
              <w:t>Порядковый номер заявки</w:t>
            </w:r>
          </w:p>
        </w:tc>
        <w:tc>
          <w:tcPr>
            <w:shd w:val="clear" w:color="auto" w:fill="FFFFFF"/>
            <w:tcBorders>
              <w:left w:val="single" w:sz="4"/>
              <w:top w:val="single" w:sz="4"/>
            </w:tcBorders>
            <w:vAlign w:val="top"/>
          </w:tcPr>
          <w:p>
            <w:pPr>
              <w:pStyle w:val="Style7"/>
              <w:framePr w:w="10066"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Участник</w:t>
            </w:r>
          </w:p>
        </w:tc>
        <w:tc>
          <w:tcPr>
            <w:shd w:val="clear" w:color="auto" w:fill="FFFFFF"/>
            <w:tcBorders>
              <w:left w:val="single" w:sz="4"/>
              <w:right w:val="single" w:sz="4"/>
            </w:tcBorders>
            <w:vAlign w:val="top"/>
          </w:tcPr>
          <w:p>
            <w:pPr>
              <w:pStyle w:val="Style7"/>
              <w:framePr w:w="1006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17"/>
              </w:rPr>
              <w:t>Обоснование решения</w:t>
            </w:r>
          </w:p>
        </w:tc>
      </w:tr>
      <w:tr>
        <w:trPr>
          <w:trHeight w:val="955" w:hRule="exact"/>
        </w:trPr>
        <w:tc>
          <w:tcPr>
            <w:shd w:val="clear" w:color="auto" w:fill="FFFFFF"/>
            <w:tcBorders>
              <w:left w:val="single" w:sz="4"/>
              <w:top w:val="single" w:sz="4"/>
            </w:tcBorders>
            <w:vAlign w:val="top"/>
          </w:tcPr>
          <w:p>
            <w:pPr>
              <w:pStyle w:val="Style7"/>
              <w:framePr w:w="10066"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1</w:t>
            </w:r>
          </w:p>
        </w:tc>
        <w:tc>
          <w:tcPr>
            <w:shd w:val="clear" w:color="auto" w:fill="FFFFFF"/>
            <w:tcBorders>
              <w:left w:val="single" w:sz="4"/>
              <w:top w:val="single" w:sz="4"/>
            </w:tcBorders>
            <w:vAlign w:val="top"/>
          </w:tcPr>
          <w:p>
            <w:pPr>
              <w:pStyle w:val="Style7"/>
              <w:framePr w:w="10066" w:wrap="notBeside" w:vAnchor="text" w:hAnchor="text" w:xAlign="center" w:y="1"/>
              <w:widowControl w:val="0"/>
              <w:keepNext w:val="0"/>
              <w:keepLines w:val="0"/>
              <w:shd w:val="clear" w:color="auto" w:fill="auto"/>
              <w:bidi w:val="0"/>
              <w:jc w:val="left"/>
              <w:spacing w:before="0" w:after="0" w:line="240" w:lineRule="exact"/>
              <w:ind w:left="1000" w:right="0" w:firstLine="0"/>
            </w:pPr>
            <w:r>
              <w:rPr>
                <w:rStyle w:val="CharStyle17"/>
              </w:rPr>
              <w:t>№2</w:t>
            </w:r>
          </w:p>
        </w:tc>
        <w:tc>
          <w:tcPr>
            <w:shd w:val="clear" w:color="auto" w:fill="FFFFFF"/>
            <w:tcBorders>
              <w:left w:val="single" w:sz="4"/>
              <w:top w:val="single" w:sz="4"/>
              <w:bottom w:val="single" w:sz="4"/>
            </w:tcBorders>
            <w:vAlign w:val="top"/>
          </w:tcPr>
          <w:p>
            <w:pPr>
              <w:framePr w:w="10066"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pStyle w:val="Style7"/>
              <w:framePr w:w="10066" w:wrap="notBeside" w:vAnchor="text" w:hAnchor="text" w:xAlign="center" w:y="1"/>
              <w:widowControl w:val="0"/>
              <w:keepNext w:val="0"/>
              <w:keepLines w:val="0"/>
              <w:shd w:val="clear" w:color="auto" w:fill="auto"/>
              <w:bidi w:val="0"/>
              <w:jc w:val="left"/>
              <w:spacing w:before="0" w:after="0" w:line="326" w:lineRule="exact"/>
              <w:ind w:left="120" w:right="0" w:firstLine="720"/>
            </w:pPr>
            <w:r>
              <w:rPr>
                <w:rStyle w:val="CharStyle17"/>
              </w:rPr>
              <w:t>п.1, п.2 части 4 статьи 67 ФЗ-44</w:t>
            </w:r>
          </w:p>
        </w:tc>
      </w:tr>
    </w:tbl>
    <w:p>
      <w:pPr>
        <w:pStyle w:val="Style12"/>
        <w:framePr w:w="10066"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pStyle w:val="Style12"/>
        <w:framePr w:w="10066"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На заседании Комиссии представитель Заказчика пояснил, что заявка Заявителя под порядковым номером «2» отклонена по причине того, что Заявитель в первой части заявки при описании товара не указал конкретные показатели, т.к. применил обозначения </w:t>
      </w:r>
      <w:r>
        <w:rPr>
          <w:rStyle w:val="CharStyle14"/>
        </w:rPr>
        <w:t>«должен быть», «не должен быть»,</w:t>
      </w:r>
      <w:r>
        <w:rPr>
          <w:lang w:val="ru-RU" w:eastAsia="ru-RU" w:bidi="ru-RU"/>
          <w:w w:val="100"/>
          <w:spacing w:val="0"/>
          <w:color w:val="000000"/>
          <w:position w:val="0"/>
        </w:rPr>
        <w:t xml:space="preserve"> что противоречит требованиям документации об Аукционе в том числе и Инструкции по заполнению первых частей заявок участников, согласно которой: «.</w:t>
      </w:r>
    </w:p>
    <w:p>
      <w:pPr>
        <w:pStyle w:val="Style15"/>
        <w:framePr w:w="10066"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8.7. Слова (словосочетания) «должен (должна)», «должен (должна) быть», «не должен (должна)» при описании товаров (материалов) не допускается и расценивается как не предоставление конкретных показателей.</w:t>
      </w:r>
    </w:p>
    <w:p>
      <w:pPr>
        <w:pStyle w:val="Style12"/>
        <w:framePr w:w="10066" w:wrap="notBeside" w:vAnchor="text" w:hAnchor="text" w:xAlign="center" w:y="1"/>
        <w:widowControl w:val="0"/>
        <w:keepNext w:val="0"/>
        <w:keepLines w:val="0"/>
        <w:shd w:val="clear" w:color="auto" w:fill="auto"/>
        <w:bidi w:val="0"/>
        <w:spacing w:before="0" w:after="0" w:line="326" w:lineRule="exact"/>
        <w:ind w:left="0" w:right="0" w:firstLine="0"/>
      </w:pPr>
      <w:r>
        <w:rPr>
          <w:lang w:val="ru-RU" w:eastAsia="ru-RU" w:bidi="ru-RU"/>
          <w:w w:val="100"/>
          <w:spacing w:val="0"/>
          <w:color w:val="000000"/>
          <w:position w:val="0"/>
        </w:rPr>
        <w:t>.» (цитата пояснений).</w:t>
      </w:r>
    </w:p>
    <w:p>
      <w:pPr>
        <w:pStyle w:val="Style12"/>
        <w:framePr w:w="10066" w:wrap="notBeside" w:vAnchor="text" w:hAnchor="text" w:xAlign="center" w:y="1"/>
        <w:widowControl w:val="0"/>
        <w:keepNext w:val="0"/>
        <w:keepLines w:val="0"/>
        <w:shd w:val="clear" w:color="auto" w:fill="auto"/>
        <w:bidi w:val="0"/>
        <w:jc w:val="left"/>
        <w:spacing w:before="0" w:after="0" w:line="326" w:lineRule="exact"/>
        <w:ind w:left="0" w:right="0" w:firstLine="0"/>
      </w:pPr>
      <w:r>
        <w:rPr>
          <w:lang w:val="ru-RU" w:eastAsia="ru-RU" w:bidi="ru-RU"/>
          <w:w w:val="100"/>
          <w:spacing w:val="0"/>
          <w:color w:val="000000"/>
          <w:position w:val="0"/>
        </w:rPr>
        <w:t>На заседании Комиссией установлено, что в заявке под порядковым номером «2» содержится: «.</w:t>
      </w:r>
    </w:p>
    <w:p>
      <w:pPr>
        <w:widowControl w:val="0"/>
        <w:rPr>
          <w:sz w:val="2"/>
          <w:szCs w:val="2"/>
        </w:rPr>
      </w:pPr>
    </w:p>
    <w:tbl>
      <w:tblPr>
        <w:tblOverlap w:val="never"/>
        <w:tblLayout w:type="fixed"/>
        <w:jc w:val="center"/>
      </w:tblPr>
      <w:tblGrid>
        <w:gridCol w:w="864"/>
        <w:gridCol w:w="9360"/>
      </w:tblGrid>
      <w:tr>
        <w:trPr>
          <w:trHeight w:val="547"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 п/п</w:t>
            </w:r>
          </w:p>
        </w:tc>
        <w:tc>
          <w:tcPr>
            <w:shd w:val="clear" w:color="auto" w:fill="FFFFFF"/>
            <w:tcBorders>
              <w:left w:val="single" w:sz="4"/>
              <w:righ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Наименование товара, технические характеристики, требуемые параметры</w:t>
            </w:r>
          </w:p>
        </w:tc>
      </w:tr>
      <w:tr>
        <w:trPr>
          <w:trHeight w:val="1171"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9"/>
              </w:rPr>
              <w:t>1</w:t>
            </w:r>
          </w:p>
        </w:tc>
        <w:tc>
          <w:tcPr>
            <w:shd w:val="clear" w:color="auto" w:fill="FFFFFF"/>
            <w:tcBorders>
              <w:left w:val="single" w:sz="4"/>
              <w:righ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19"/>
              </w:rPr>
              <w:t xml:space="preserve">Откосы внутренние </w:t>
            </w:r>
            <w:r>
              <w:rPr>
                <w:rStyle w:val="CharStyle18"/>
              </w:rPr>
              <w:t>должны быть выполнены из гипсокартонных систем с установкой наружных малярных уголков. Гипсокартонный лист влагостойкий толщиной 12,5 мм, в один слой.</w:t>
            </w:r>
          </w:p>
          <w:p>
            <w:pPr>
              <w:pStyle w:val="Style7"/>
              <w:framePr w:w="1022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19"/>
              </w:rPr>
              <w:t xml:space="preserve">Откосы наружные </w:t>
            </w:r>
            <w:r>
              <w:rPr>
                <w:rStyle w:val="CharStyle18"/>
              </w:rPr>
              <w:t>должны быть оштукатурены цементно-песчаным раствором.</w:t>
            </w:r>
          </w:p>
        </w:tc>
      </w:tr>
      <w:tr>
        <w:trPr>
          <w:trHeight w:val="1128"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9"/>
              </w:rPr>
              <w:t>2</w:t>
            </w:r>
          </w:p>
        </w:tc>
        <w:tc>
          <w:tcPr>
            <w:shd w:val="clear" w:color="auto" w:fill="FFFFFF"/>
            <w:tcBorders>
              <w:left w:val="single" w:sz="4"/>
              <w:righ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19"/>
              </w:rPr>
              <w:t xml:space="preserve">Откосы внутренние </w:t>
            </w:r>
            <w:r>
              <w:rPr>
                <w:rStyle w:val="CharStyle18"/>
              </w:rPr>
              <w:t>должны быть выполнены из гипсокартонных систем, с установкой наружных малярных уголков. Гипсокартонный лист должен быть влагостойкий, толщиной 12,5 мм, в два слоя.</w:t>
            </w:r>
          </w:p>
          <w:p>
            <w:pPr>
              <w:pStyle w:val="Style7"/>
              <w:framePr w:w="1022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19"/>
              </w:rPr>
              <w:t xml:space="preserve">Откосы наружные </w:t>
            </w:r>
            <w:r>
              <w:rPr>
                <w:rStyle w:val="CharStyle18"/>
              </w:rPr>
              <w:t>должны быть оштукатурены цементно-песчаным раствором.</w:t>
            </w:r>
          </w:p>
        </w:tc>
      </w:tr>
      <w:tr>
        <w:trPr>
          <w:trHeight w:val="446" w:hRule="exact"/>
        </w:trPr>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24" w:wrap="notBeside" w:vAnchor="text" w:hAnchor="text" w:xAlign="center" w:y="1"/>
              <w:widowControl w:val="0"/>
              <w:rPr>
                <w:sz w:val="10"/>
                <w:szCs w:val="10"/>
              </w:rPr>
            </w:pPr>
          </w:p>
        </w:tc>
      </w:tr>
    </w:tbl>
    <w:p>
      <w:pPr>
        <w:pStyle w:val="Style12"/>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заявки под порядковым номером «2»)</w:t>
      </w:r>
    </w:p>
    <w:p>
      <w:pPr>
        <w:widowControl w:val="0"/>
        <w:rPr>
          <w:sz w:val="2"/>
          <w:szCs w:val="2"/>
        </w:rPr>
      </w:pP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«2» (Заявитель), предоставленную представителем Заказчика, с учетом пояснений представителя Заказчика, приходит к выводу об обоснованности действий Аукционной комиссии Заказчика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изложенное, Комиссия приходит к выводу, что действия Аукционной комиссии Заказчика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60" w:line="322" w:lineRule="exact"/>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numPr>
          <w:ilvl w:val="0"/>
          <w:numId w:val="9"/>
        </w:numPr>
        <w:tabs>
          <w:tab w:leader="none" w:pos="1192" w:val="left"/>
        </w:tabs>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9"/>
        </w:numPr>
        <w:tabs>
          <w:tab w:leader="none" w:pos="1426"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пунктом 2 части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Указанный протокол должен содержать в том числе информацию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Комиссией установлено, что Протокол рассмотрения заявок на участие в электронном аукционе от 23.10.2017 №0175300021817000010-1, размещенный на официальном сайте, не содержит обоснование решения об отказе участнику закупки с порядковым номером «2» в допуске к участию в Аукционе, а также не содержит указания положений документации об Аукционе,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об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Таким образом, действия Аукционной комиссии Заказчика по оформлению и размещению на официальном сайте Протокола рассмотрения с несоблюдением положений Закона о контрактной системе нарушают пункт 2 части 6 статьи 67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w:t>
      </w:r>
    </w:p>
    <w:p>
      <w:pPr>
        <w:pStyle w:val="Style7"/>
        <w:numPr>
          <w:ilvl w:val="0"/>
          <w:numId w:val="11"/>
        </w:numPr>
        <w:tabs>
          <w:tab w:leader="none" w:pos="696" w:val="left"/>
        </w:tabs>
        <w:widowControl w:val="0"/>
        <w:keepNext w:val="0"/>
        <w:keepLines w:val="0"/>
        <w:shd w:val="clear" w:color="auto" w:fill="auto"/>
        <w:bidi w:val="0"/>
        <w:jc w:val="both"/>
        <w:spacing w:before="0" w:after="180" w:line="322" w:lineRule="exact"/>
        <w:ind w:left="0" w:right="20" w:firstLine="0"/>
      </w:pPr>
      <w:r>
        <w:rPr>
          <w:lang w:val="ru-RU" w:eastAsia="ru-RU" w:bidi="ru-RU"/>
          <w:w w:val="100"/>
          <w:spacing w:val="0"/>
          <w:color w:val="000000"/>
          <w:position w:val="0"/>
        </w:rPr>
        <w:t>статьи 7.30 Кодекса Российской Федерации об административных правонарушениях.</w:t>
      </w:r>
    </w:p>
    <w:p>
      <w:pPr>
        <w:pStyle w:val="Style7"/>
        <w:numPr>
          <w:ilvl w:val="1"/>
          <w:numId w:val="9"/>
        </w:numPr>
        <w:tabs>
          <w:tab w:leader="none" w:pos="1244" w:val="lef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Частью 4 статьи 64 Закона о контрактной системе предусмотрено, что к документации об электронном аукционе прилагается проект контракта, который является неотъемлемой частью этой документации.</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на стадии заключения контракта не предусмотрена возможность изменения заказчиком других положений проекта контракта, кроме указанных, по истечении срока для внесения изменений в документацию об электронном аукционе.</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Частью 13 статьи 34 Закона о контрактной системе установлено, что в контракт включается обязательное условие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извещение, документацию о проведении закупок, условия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подлежат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Изучив проект контракта, Комиссия не установила наличия в нем сроков осуществления Заказчиком приемки товара и сроков оформления результатов приемки поставленного товара, в части соответствия их количества, комплектности, объема требованиям, установленным контрактом.</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Данное бездействие Заказчика, выразившееся в не указании в проекте контракта об Аукционе сроков приемки и оформления результатов приемки поставленного товара, нарушает требования части 13 статьи 34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w:t>
      </w:r>
    </w:p>
    <w:p>
      <w:pPr>
        <w:pStyle w:val="Style7"/>
        <w:numPr>
          <w:ilvl w:val="0"/>
          <w:numId w:val="13"/>
        </w:numPr>
        <w:tabs>
          <w:tab w:leader="none" w:pos="496" w:val="left"/>
        </w:tabs>
        <w:widowControl w:val="0"/>
        <w:keepNext w:val="0"/>
        <w:keepLines w:val="0"/>
        <w:shd w:val="clear" w:color="auto" w:fill="auto"/>
        <w:bidi w:val="0"/>
        <w:jc w:val="both"/>
        <w:spacing w:before="0" w:after="60" w:line="322" w:lineRule="exact"/>
        <w:ind w:left="20" w:right="0" w:firstLine="0"/>
      </w:pPr>
      <w:r>
        <w:rPr>
          <w:lang w:val="ru-RU" w:eastAsia="ru-RU" w:bidi="ru-RU"/>
          <w:w w:val="100"/>
          <w:spacing w:val="0"/>
          <w:color w:val="000000"/>
          <w:position w:val="0"/>
        </w:rPr>
        <w:t>статьи 7.30 Закона о контрактной систем.</w:t>
      </w:r>
    </w:p>
    <w:p>
      <w:pPr>
        <w:pStyle w:val="Style7"/>
        <w:numPr>
          <w:ilvl w:val="1"/>
          <w:numId w:val="13"/>
        </w:numPr>
        <w:tabs>
          <w:tab w:leader="none" w:pos="1450"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капитальному ремонту здания Заказчика, т.е. выполнение работ.</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2"/>
        <w:framePr w:w="10224" w:wrap="notBeside" w:vAnchor="text" w:hAnchor="text" w:xAlign="center" w:y="1"/>
        <w:tabs>
          <w:tab w:leader="underscore" w:pos="10210"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следующее требование о соответствии товаров, используемых при выполнении </w:t>
      </w:r>
      <w:r>
        <w:rPr>
          <w:rStyle w:val="CharStyle20"/>
        </w:rPr>
        <w:t>работ, например: «...</w:t>
      </w:r>
      <w:r>
        <w:rPr>
          <w:lang w:val="ru-RU" w:eastAsia="ru-RU" w:bidi="ru-RU"/>
          <w:w w:val="100"/>
          <w:spacing w:val="0"/>
          <w:color w:val="000000"/>
          <w:position w:val="0"/>
        </w:rPr>
        <w:tab/>
      </w:r>
    </w:p>
    <w:tbl>
      <w:tblPr>
        <w:tblOverlap w:val="never"/>
        <w:tblLayout w:type="fixed"/>
        <w:jc w:val="center"/>
      </w:tblPr>
      <w:tblGrid>
        <w:gridCol w:w="864"/>
        <w:gridCol w:w="9360"/>
      </w:tblGrid>
      <w:tr>
        <w:trPr>
          <w:trHeight w:val="547"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170" w:lineRule="exact"/>
              <w:ind w:left="200" w:right="0" w:firstLine="0"/>
            </w:pPr>
            <w:r>
              <w:rPr>
                <w:rStyle w:val="CharStyle18"/>
              </w:rPr>
              <w:t>№ п/п</w:t>
            </w:r>
          </w:p>
        </w:tc>
        <w:tc>
          <w:tcPr>
            <w:shd w:val="clear" w:color="auto" w:fill="FFFFFF"/>
            <w:tcBorders>
              <w:left w:val="single" w:sz="4"/>
              <w:righ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Наименование товара, технические характеристики, требуемые параметры</w:t>
            </w:r>
          </w:p>
        </w:tc>
      </w:tr>
      <w:tr>
        <w:trPr>
          <w:trHeight w:val="221"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3115" w:hRule="exact"/>
        </w:trPr>
        <w:tc>
          <w:tcPr>
            <w:shd w:val="clear" w:color="auto" w:fill="FFFFFF"/>
            <w:vMerge w:val="restart"/>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18"/>
              </w:rPr>
              <w:t>4</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180" w:line="170" w:lineRule="exact"/>
              <w:ind w:left="100" w:right="0" w:firstLine="0"/>
            </w:pPr>
            <w:r>
              <w:rPr>
                <w:rStyle w:val="CharStyle19"/>
              </w:rPr>
              <w:t>Краска водоэмульсионная</w:t>
            </w:r>
          </w:p>
          <w:p>
            <w:pPr>
              <w:pStyle w:val="Style7"/>
              <w:framePr w:w="10224" w:wrap="notBeside" w:vAnchor="text" w:hAnchor="text" w:xAlign="center" w:y="1"/>
              <w:widowControl w:val="0"/>
              <w:keepNext w:val="0"/>
              <w:keepLines w:val="0"/>
              <w:shd w:val="clear" w:color="auto" w:fill="auto"/>
              <w:bidi w:val="0"/>
              <w:jc w:val="left"/>
              <w:spacing w:before="180" w:after="0" w:line="206" w:lineRule="exact"/>
              <w:ind w:left="100" w:right="0" w:firstLine="0"/>
            </w:pPr>
            <w:r>
              <w:rPr>
                <w:rStyle w:val="CharStyle18"/>
              </w:rPr>
              <w:t>Степень перетира от 28 до 35* мкм плотность взвеси — не более 1,4 г/см.</w:t>
            </w:r>
          </w:p>
          <w:p>
            <w:pPr>
              <w:pStyle w:val="Style7"/>
              <w:framePr w:w="10224" w:wrap="notBeside" w:vAnchor="text" w:hAnchor="text" w:xAlign="center" w:y="1"/>
              <w:widowControl w:val="0"/>
              <w:keepNext w:val="0"/>
              <w:keepLines w:val="0"/>
              <w:shd w:val="clear" w:color="auto" w:fill="auto"/>
              <w:bidi w:val="0"/>
              <w:jc w:val="left"/>
              <w:spacing w:before="0" w:after="0" w:line="206" w:lineRule="exact"/>
              <w:ind w:left="100" w:right="0" w:firstLine="0"/>
            </w:pPr>
            <w:r>
              <w:rPr>
                <w:rStyle w:val="CharStyle18"/>
              </w:rPr>
              <w:t>условная вязкость при температуре 20 градусов Цельсия — от 30 м2/с.</w:t>
            </w:r>
          </w:p>
          <w:p>
            <w:pPr>
              <w:pStyle w:val="Style7"/>
              <w:framePr w:w="10224" w:wrap="notBeside" w:vAnchor="text" w:hAnchor="text" w:xAlign="center" w:y="1"/>
              <w:widowControl w:val="0"/>
              <w:keepNext w:val="0"/>
              <w:keepLines w:val="0"/>
              <w:shd w:val="clear" w:color="auto" w:fill="auto"/>
              <w:bidi w:val="0"/>
              <w:jc w:val="left"/>
              <w:spacing w:before="0" w:after="0" w:line="206" w:lineRule="exact"/>
              <w:ind w:left="100" w:right="0" w:firstLine="0"/>
            </w:pPr>
            <w:r>
              <w:rPr>
                <w:rStyle w:val="CharStyle18"/>
              </w:rPr>
              <w:t>укрывистость— не менее 120 г/м.</w:t>
            </w:r>
          </w:p>
          <w:p>
            <w:pPr>
              <w:pStyle w:val="Style7"/>
              <w:framePr w:w="10224" w:wrap="notBeside" w:vAnchor="text" w:hAnchor="text" w:xAlign="center" w:y="1"/>
              <w:widowControl w:val="0"/>
              <w:keepNext w:val="0"/>
              <w:keepLines w:val="0"/>
              <w:shd w:val="clear" w:color="auto" w:fill="auto"/>
              <w:bidi w:val="0"/>
              <w:jc w:val="left"/>
              <w:spacing w:before="0" w:after="0" w:line="206" w:lineRule="exact"/>
              <w:ind w:left="100" w:right="0" w:firstLine="0"/>
            </w:pPr>
            <w:r>
              <w:rPr>
                <w:rStyle w:val="CharStyle18"/>
              </w:rPr>
              <w:t>расход на первый слой — не более 150 г/м2.</w:t>
            </w:r>
          </w:p>
          <w:p>
            <w:pPr>
              <w:pStyle w:val="Style7"/>
              <w:framePr w:w="10224" w:wrap="notBeside" w:vAnchor="text" w:hAnchor="text" w:xAlign="center" w:y="1"/>
              <w:widowControl w:val="0"/>
              <w:keepNext w:val="0"/>
              <w:keepLines w:val="0"/>
              <w:shd w:val="clear" w:color="auto" w:fill="auto"/>
              <w:bidi w:val="0"/>
              <w:jc w:val="left"/>
              <w:spacing w:before="0" w:after="180" w:line="206" w:lineRule="exact"/>
              <w:ind w:left="100" w:right="0" w:firstLine="0"/>
            </w:pPr>
            <w:r>
              <w:rPr>
                <w:rStyle w:val="CharStyle18"/>
              </w:rPr>
              <w:t>время высыхания до степени 3 (когда можно наносить второй слой) —не более 1 часа.</w:t>
            </w:r>
          </w:p>
          <w:p>
            <w:pPr>
              <w:pStyle w:val="Style7"/>
              <w:framePr w:w="10224" w:wrap="notBeside" w:vAnchor="text" w:hAnchor="text" w:xAlign="center" w:y="1"/>
              <w:widowControl w:val="0"/>
              <w:keepNext w:val="0"/>
              <w:keepLines w:val="0"/>
              <w:shd w:val="clear" w:color="auto" w:fill="auto"/>
              <w:bidi w:val="0"/>
              <w:jc w:val="left"/>
              <w:spacing w:before="180" w:after="0" w:line="206" w:lineRule="exact"/>
              <w:ind w:left="100" w:right="0" w:firstLine="0"/>
            </w:pPr>
            <w:r>
              <w:rPr>
                <w:rStyle w:val="CharStyle18"/>
                <w:lang w:val="en-US" w:eastAsia="en-US" w:bidi="en-US"/>
              </w:rPr>
              <w:t xml:space="preserve">Ph </w:t>
            </w:r>
            <w:r>
              <w:rPr>
                <w:rStyle w:val="CharStyle18"/>
              </w:rPr>
              <w:t>состава — от 6,8 до 8,2.</w:t>
            </w:r>
          </w:p>
          <w:p>
            <w:pPr>
              <w:pStyle w:val="Style7"/>
              <w:framePr w:w="10224" w:wrap="notBeside" w:vAnchor="text" w:hAnchor="text" w:xAlign="center" w:y="1"/>
              <w:widowControl w:val="0"/>
              <w:keepNext w:val="0"/>
              <w:keepLines w:val="0"/>
              <w:shd w:val="clear" w:color="auto" w:fill="auto"/>
              <w:bidi w:val="0"/>
              <w:jc w:val="left"/>
              <w:spacing w:before="0" w:after="0" w:line="206" w:lineRule="exact"/>
              <w:ind w:left="100" w:right="0" w:firstLine="0"/>
            </w:pPr>
            <w:r>
              <w:rPr>
                <w:rStyle w:val="CharStyle18"/>
              </w:rPr>
              <w:t>адгезия к поверхности —не более 2 балла.</w:t>
            </w:r>
          </w:p>
          <w:p>
            <w:pPr>
              <w:pStyle w:val="Style7"/>
              <w:framePr w:w="10224" w:wrap="notBeside" w:vAnchor="text" w:hAnchor="text" w:xAlign="center" w:y="1"/>
              <w:widowControl w:val="0"/>
              <w:keepNext w:val="0"/>
              <w:keepLines w:val="0"/>
              <w:shd w:val="clear" w:color="auto" w:fill="auto"/>
              <w:bidi w:val="0"/>
              <w:jc w:val="left"/>
              <w:spacing w:before="0" w:after="0" w:line="206" w:lineRule="exact"/>
              <w:ind w:left="100" w:right="0" w:firstLine="0"/>
            </w:pPr>
            <w:r>
              <w:rPr>
                <w:rStyle w:val="CharStyle18"/>
              </w:rPr>
              <w:t>прочность к истиранию —не менее 3,5 мкм/кг.</w:t>
            </w:r>
          </w:p>
          <w:p>
            <w:pPr>
              <w:pStyle w:val="Style7"/>
              <w:framePr w:w="10224" w:wrap="notBeside" w:vAnchor="text" w:hAnchor="text" w:xAlign="center" w:y="1"/>
              <w:widowControl w:val="0"/>
              <w:keepNext w:val="0"/>
              <w:keepLines w:val="0"/>
              <w:shd w:val="clear" w:color="auto" w:fill="auto"/>
              <w:bidi w:val="0"/>
              <w:jc w:val="left"/>
              <w:spacing w:before="0" w:after="0" w:line="206" w:lineRule="exact"/>
              <w:ind w:left="100" w:right="0" w:firstLine="0"/>
            </w:pPr>
            <w:r>
              <w:rPr>
                <w:rStyle w:val="CharStyle18"/>
              </w:rPr>
              <w:t>максимальная величина частиц краски (степень перетира) — до 30 мкм. массовая доля нелетучих соединений — от 53 до 59%.</w:t>
            </w:r>
          </w:p>
        </w:tc>
      </w:tr>
      <w:tr>
        <w:trPr>
          <w:trHeight w:val="2222" w:hRule="exact"/>
        </w:trPr>
        <w:tc>
          <w:tcPr>
            <w:shd w:val="clear" w:color="auto" w:fill="FFFFFF"/>
            <w:vMerge/>
            <w:tcBorders>
              <w:left w:val="single" w:sz="4"/>
            </w:tcBorders>
            <w:vAlign w:val="top"/>
          </w:tcPr>
          <w:p>
            <w:pPr>
              <w:framePr w:w="10224" w:wrap="notBeside" w:vAnchor="text" w:hAnchor="text" w:xAlign="center" w:y="1"/>
            </w:pP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240" w:line="170" w:lineRule="exact"/>
              <w:ind w:left="100" w:right="0" w:firstLine="0"/>
            </w:pPr>
            <w:r>
              <w:rPr>
                <w:rStyle w:val="CharStyle19"/>
              </w:rPr>
              <w:t>Герметик полиуретановый</w:t>
            </w:r>
          </w:p>
          <w:p>
            <w:pPr>
              <w:pStyle w:val="Style7"/>
              <w:framePr w:w="10224" w:wrap="notBeside" w:vAnchor="text" w:hAnchor="text" w:xAlign="center" w:y="1"/>
              <w:widowControl w:val="0"/>
              <w:keepNext w:val="0"/>
              <w:keepLines w:val="0"/>
              <w:shd w:val="clear" w:color="auto" w:fill="auto"/>
              <w:bidi w:val="0"/>
              <w:jc w:val="left"/>
              <w:spacing w:before="240" w:after="0" w:line="206" w:lineRule="exact"/>
              <w:ind w:left="100" w:right="0" w:firstLine="0"/>
            </w:pPr>
            <w:r>
              <w:rPr>
                <w:rStyle w:val="CharStyle19"/>
              </w:rPr>
              <w:t xml:space="preserve">Вторичная расширяемость </w:t>
            </w:r>
            <w:r>
              <w:rPr>
                <w:rStyle w:val="CharStyle18"/>
              </w:rPr>
              <w:t>- не выше 121 не ниже 101%*.</w:t>
            </w:r>
          </w:p>
          <w:p>
            <w:pPr>
              <w:pStyle w:val="Style7"/>
              <w:framePr w:w="10224" w:wrap="notBeside" w:vAnchor="text" w:hAnchor="text" w:xAlign="center" w:y="1"/>
              <w:widowControl w:val="0"/>
              <w:keepNext w:val="0"/>
              <w:keepLines w:val="0"/>
              <w:shd w:val="clear" w:color="auto" w:fill="auto"/>
              <w:bidi w:val="0"/>
              <w:jc w:val="left"/>
              <w:spacing w:before="0" w:after="0" w:line="206" w:lineRule="exact"/>
              <w:ind w:left="100" w:right="0" w:firstLine="0"/>
            </w:pPr>
            <w:r>
              <w:rPr>
                <w:rStyle w:val="CharStyle19"/>
              </w:rPr>
              <w:t xml:space="preserve">Создаваемое давление - </w:t>
            </w:r>
            <w:r>
              <w:rPr>
                <w:rStyle w:val="CharStyle18"/>
              </w:rPr>
              <w:t>меньше 31 Н/дм</w:t>
            </w:r>
            <w:r>
              <w:rPr>
                <w:rStyle w:val="CharStyle18"/>
                <w:vertAlign w:val="superscript"/>
              </w:rPr>
              <w:t>2</w:t>
            </w:r>
            <w:r>
              <w:rPr>
                <w:rStyle w:val="CharStyle18"/>
              </w:rPr>
              <w:t>.</w:t>
            </w:r>
          </w:p>
          <w:p>
            <w:pPr>
              <w:pStyle w:val="Style7"/>
              <w:framePr w:w="10224" w:wrap="notBeside" w:vAnchor="text" w:hAnchor="text" w:xAlign="center" w:y="1"/>
              <w:widowControl w:val="0"/>
              <w:keepNext w:val="0"/>
              <w:keepLines w:val="0"/>
              <w:shd w:val="clear" w:color="auto" w:fill="auto"/>
              <w:bidi w:val="0"/>
              <w:jc w:val="left"/>
              <w:spacing w:before="0" w:after="0" w:line="206" w:lineRule="exact"/>
              <w:ind w:left="100" w:right="0" w:firstLine="0"/>
            </w:pPr>
            <w:r>
              <w:rPr>
                <w:rStyle w:val="CharStyle19"/>
              </w:rPr>
              <w:t xml:space="preserve">Срок высыхания от </w:t>
            </w:r>
            <w:r>
              <w:rPr>
                <w:rStyle w:val="CharStyle18"/>
              </w:rPr>
              <w:t>6 до 17 мин.*</w:t>
            </w:r>
          </w:p>
          <w:p>
            <w:pPr>
              <w:pStyle w:val="Style7"/>
              <w:framePr w:w="10224" w:wrap="notBeside" w:vAnchor="text" w:hAnchor="text" w:xAlign="center" w:y="1"/>
              <w:widowControl w:val="0"/>
              <w:keepNext w:val="0"/>
              <w:keepLines w:val="0"/>
              <w:shd w:val="clear" w:color="auto" w:fill="auto"/>
              <w:bidi w:val="0"/>
              <w:jc w:val="left"/>
              <w:spacing w:before="0" w:after="240" w:line="206" w:lineRule="exact"/>
              <w:ind w:left="100" w:right="0" w:firstLine="0"/>
            </w:pPr>
            <w:r>
              <w:rPr>
                <w:rStyle w:val="CharStyle19"/>
              </w:rPr>
              <w:t xml:space="preserve">Срок полного отвердевания: </w:t>
            </w:r>
            <w:r>
              <w:rPr>
                <w:rStyle w:val="CharStyle18"/>
              </w:rPr>
              <w:t xml:space="preserve">влажность 93% - до 1 час; влажность 15% - до 15 часов. </w:t>
            </w:r>
            <w:r>
              <w:rPr>
                <w:rStyle w:val="CharStyle19"/>
              </w:rPr>
              <w:t>Плотность после отвердевания</w:t>
            </w:r>
            <w:r>
              <w:rPr>
                <w:rStyle w:val="CharStyle18"/>
              </w:rPr>
              <w:t>- от 15 до 27 кг/м</w:t>
            </w:r>
            <w:r>
              <w:rPr>
                <w:rStyle w:val="CharStyle18"/>
                <w:vertAlign w:val="superscript"/>
              </w:rPr>
              <w:t>3</w:t>
            </w:r>
            <w:r>
              <w:rPr>
                <w:rStyle w:val="CharStyle18"/>
              </w:rPr>
              <w:t>*.</w:t>
            </w:r>
          </w:p>
          <w:p>
            <w:pPr>
              <w:pStyle w:val="Style7"/>
              <w:framePr w:w="10224" w:wrap="notBeside" w:vAnchor="text" w:hAnchor="text" w:xAlign="center" w:y="1"/>
              <w:widowControl w:val="0"/>
              <w:keepNext w:val="0"/>
              <w:keepLines w:val="0"/>
              <w:shd w:val="clear" w:color="auto" w:fill="auto"/>
              <w:bidi w:val="0"/>
              <w:jc w:val="left"/>
              <w:spacing w:before="240" w:after="60" w:line="170" w:lineRule="exact"/>
              <w:ind w:left="100" w:right="0" w:firstLine="0"/>
            </w:pPr>
            <w:r>
              <w:rPr>
                <w:rStyle w:val="CharStyle19"/>
              </w:rPr>
              <w:t xml:space="preserve">Водяная абсорбция </w:t>
            </w:r>
            <w:r>
              <w:rPr>
                <w:rStyle w:val="CharStyle18"/>
              </w:rPr>
              <w:t>- не белее 20%.</w:t>
            </w:r>
          </w:p>
          <w:p>
            <w:pPr>
              <w:pStyle w:val="Style7"/>
              <w:framePr w:w="10224" w:wrap="notBeside" w:vAnchor="text" w:hAnchor="text" w:xAlign="center" w:y="1"/>
              <w:widowControl w:val="0"/>
              <w:keepNext w:val="0"/>
              <w:keepLines w:val="0"/>
              <w:shd w:val="clear" w:color="auto" w:fill="auto"/>
              <w:bidi w:val="0"/>
              <w:jc w:val="left"/>
              <w:spacing w:before="60" w:after="0" w:line="170" w:lineRule="exact"/>
              <w:ind w:left="100" w:right="0" w:firstLine="0"/>
            </w:pPr>
            <w:r>
              <w:rPr>
                <w:rStyle w:val="CharStyle19"/>
              </w:rPr>
              <w:t>Граница самовозгорания</w:t>
            </w:r>
            <w:r>
              <w:rPr>
                <w:rStyle w:val="CharStyle18"/>
              </w:rPr>
              <w:t>- более 400 градусов Цельсия.</w:t>
            </w:r>
          </w:p>
        </w:tc>
      </w:tr>
      <w:tr>
        <w:trPr>
          <w:trHeight w:val="446" w:hRule="exact"/>
        </w:trPr>
        <w:tc>
          <w:tcPr>
            <w:shd w:val="clear" w:color="auto" w:fill="FFFFFF"/>
            <w:vMerge/>
            <w:tcBorders>
              <w:left w:val="single" w:sz="4"/>
            </w:tcBorders>
            <w:vAlign w:val="top"/>
          </w:tcPr>
          <w:p>
            <w:pPr>
              <w:framePr w:w="10224" w:wrap="notBeside" w:vAnchor="text" w:hAnchor="text" w:xAlign="center" w:y="1"/>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850" w:hRule="exact"/>
        </w:trPr>
        <w:tc>
          <w:tcPr>
            <w:shd w:val="clear" w:color="auto" w:fill="FFFFFF"/>
            <w:vMerge/>
            <w:tcBorders>
              <w:left w:val="single" w:sz="4"/>
              <w:bottom w:val="single" w:sz="4"/>
            </w:tcBorders>
            <w:vAlign w:val="top"/>
          </w:tcPr>
          <w:p>
            <w:pPr>
              <w:framePr w:w="10224" w:wrap="notBeside" w:vAnchor="text" w:hAnchor="text" w:xAlign="center" w:y="1"/>
            </w:pPr>
          </w:p>
        </w:tc>
        <w:tc>
          <w:tcPr>
            <w:shd w:val="clear" w:color="auto" w:fill="FFFFFF"/>
            <w:tcBorders>
              <w:left w:val="single" w:sz="4"/>
              <w:righ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240" w:line="170" w:lineRule="exact"/>
              <w:ind w:left="100" w:right="0" w:firstLine="0"/>
            </w:pPr>
            <w:r>
              <w:rPr>
                <w:rStyle w:val="CharStyle19"/>
              </w:rPr>
              <w:t>Грунтовка</w:t>
            </w:r>
          </w:p>
          <w:p>
            <w:pPr>
              <w:pStyle w:val="Style7"/>
              <w:framePr w:w="10224" w:wrap="notBeside" w:vAnchor="text" w:hAnchor="text" w:xAlign="center" w:y="1"/>
              <w:widowControl w:val="0"/>
              <w:keepNext w:val="0"/>
              <w:keepLines w:val="0"/>
              <w:shd w:val="clear" w:color="auto" w:fill="auto"/>
              <w:bidi w:val="0"/>
              <w:jc w:val="left"/>
              <w:spacing w:before="240" w:after="60" w:line="170" w:lineRule="exact"/>
              <w:ind w:left="100" w:right="0" w:firstLine="0"/>
            </w:pPr>
            <w:r>
              <w:rPr>
                <w:rStyle w:val="CharStyle18"/>
              </w:rPr>
              <w:t>Удельный вес должен быть &gt; 1,4 кг/л.</w:t>
            </w:r>
          </w:p>
          <w:p>
            <w:pPr>
              <w:pStyle w:val="Style7"/>
              <w:framePr w:w="10224" w:wrap="notBeside" w:vAnchor="text" w:hAnchor="text" w:xAlign="center" w:y="1"/>
              <w:widowControl w:val="0"/>
              <w:keepNext w:val="0"/>
              <w:keepLines w:val="0"/>
              <w:shd w:val="clear" w:color="auto" w:fill="auto"/>
              <w:bidi w:val="0"/>
              <w:jc w:val="left"/>
              <w:spacing w:before="60" w:after="0" w:line="170" w:lineRule="exact"/>
              <w:ind w:left="100" w:right="0" w:firstLine="0"/>
            </w:pPr>
            <w:r>
              <w:rPr>
                <w:rStyle w:val="CharStyle18"/>
              </w:rPr>
              <w:t xml:space="preserve">Время высыхания должно составлять менее 4 часов при температуре +25 градусов Цельсия </w:t>
            </w:r>
            <w:r>
              <w:rPr>
                <w:rStyle w:val="CharStyle18"/>
                <w:lang w:val="en-US" w:eastAsia="en-US" w:bidi="en-US"/>
              </w:rPr>
              <w:t xml:space="preserve">C </w:t>
            </w:r>
            <w:r>
              <w:rPr>
                <w:rStyle w:val="CharStyle18"/>
              </w:rPr>
              <w:t>и влажности 65%.</w:t>
            </w:r>
          </w:p>
        </w:tc>
      </w:tr>
    </w:tbl>
    <w:p>
      <w:pPr>
        <w:widowControl w:val="0"/>
        <w:rPr>
          <w:sz w:val="2"/>
          <w:szCs w:val="2"/>
        </w:rPr>
      </w:pPr>
    </w:p>
    <w:tbl>
      <w:tblPr>
        <w:tblOverlap w:val="never"/>
        <w:tblLayout w:type="fixed"/>
        <w:jc w:val="center"/>
      </w:tblPr>
      <w:tblGrid>
        <w:gridCol w:w="864"/>
        <w:gridCol w:w="9360"/>
      </w:tblGrid>
      <w:tr>
        <w:trPr>
          <w:trHeight w:val="442" w:hRule="exact"/>
        </w:trPr>
        <w:tc>
          <w:tcPr>
            <w:shd w:val="clear" w:color="auto" w:fill="FFFFFF"/>
            <w:vMerge w:val="restart"/>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06" w:lineRule="exact"/>
              <w:ind w:left="100" w:right="0" w:firstLine="0"/>
            </w:pPr>
            <w:r>
              <w:rPr>
                <w:rStyle w:val="CharStyle18"/>
              </w:rPr>
              <w:t>Средний расход не более 1 л на 5 кв.м. однослойного покрытия. Срок годности 12 месяцев от даты изготовления</w:t>
            </w:r>
          </w:p>
        </w:tc>
      </w:tr>
      <w:tr>
        <w:trPr>
          <w:trHeight w:val="446" w:hRule="exact"/>
        </w:trPr>
        <w:tc>
          <w:tcPr>
            <w:shd w:val="clear" w:color="auto" w:fill="FFFFFF"/>
            <w:vMerge/>
            <w:tcBorders>
              <w:left w:val="single" w:sz="4"/>
            </w:tcBorders>
            <w:vAlign w:val="top"/>
          </w:tcPr>
          <w:p>
            <w:pPr>
              <w:framePr w:w="10224" w:wrap="notBeside" w:vAnchor="text" w:hAnchor="text" w:xAlign="center" w:y="1"/>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835"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240" w:line="170" w:lineRule="exact"/>
              <w:ind w:left="0" w:right="0" w:firstLine="0"/>
            </w:pPr>
            <w:r>
              <w:rPr>
                <w:rStyle w:val="CharStyle19"/>
              </w:rPr>
              <w:t>Раствор готовый отделочный тяжелый</w:t>
            </w:r>
          </w:p>
          <w:p>
            <w:pPr>
              <w:pStyle w:val="Style7"/>
              <w:framePr w:w="10224" w:wrap="notBeside" w:vAnchor="text" w:hAnchor="text" w:xAlign="center" w:y="1"/>
              <w:widowControl w:val="0"/>
              <w:keepNext w:val="0"/>
              <w:keepLines w:val="0"/>
              <w:shd w:val="clear" w:color="auto" w:fill="auto"/>
              <w:bidi w:val="0"/>
              <w:jc w:val="both"/>
              <w:spacing w:before="240" w:after="0" w:line="206" w:lineRule="exact"/>
              <w:ind w:left="0" w:right="0" w:firstLine="0"/>
            </w:pPr>
            <w:r>
              <w:rPr>
                <w:rStyle w:val="CharStyle18"/>
              </w:rPr>
              <w:t>Водоудерживающая способность растворных смесей должна быть от89 до 91%*.Расслаиваемость свежеприготовленных смесей не должна превышать от 10,5 до 11%*.</w:t>
            </w:r>
          </w:p>
        </w:tc>
      </w:tr>
      <w:tr>
        <w:trPr>
          <w:trHeight w:val="1469"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240" w:line="170" w:lineRule="exact"/>
              <w:ind w:left="0" w:right="0" w:firstLine="0"/>
            </w:pPr>
            <w:r>
              <w:rPr>
                <w:rStyle w:val="CharStyle19"/>
              </w:rPr>
              <w:t>Раствор готовый отделочный тяжелый, известковый</w:t>
            </w:r>
            <w:r>
              <w:rPr>
                <w:rStyle w:val="CharStyle18"/>
              </w:rPr>
              <w:t>.</w:t>
            </w:r>
          </w:p>
          <w:p>
            <w:pPr>
              <w:pStyle w:val="Style7"/>
              <w:framePr w:w="10224" w:wrap="notBeside" w:vAnchor="text" w:hAnchor="text" w:xAlign="center" w:y="1"/>
              <w:widowControl w:val="0"/>
              <w:keepNext w:val="0"/>
              <w:keepLines w:val="0"/>
              <w:shd w:val="clear" w:color="auto" w:fill="auto"/>
              <w:bidi w:val="0"/>
              <w:jc w:val="both"/>
              <w:spacing w:before="240" w:after="0" w:line="206" w:lineRule="exact"/>
              <w:ind w:left="0" w:right="0" w:firstLine="0"/>
            </w:pPr>
            <w:r>
              <w:rPr>
                <w:rStyle w:val="CharStyle18"/>
              </w:rPr>
              <w:t>Расслаиваемость свежеприготовленных смесей не должна превышать 11% но не менее 9%.</w:t>
            </w:r>
          </w:p>
          <w:p>
            <w:pPr>
              <w:pStyle w:val="Style7"/>
              <w:framePr w:w="1022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18"/>
              </w:rPr>
              <w:t>Влажность сухих растворных смесей не должна превышать 0,1% по массе.</w:t>
            </w:r>
          </w:p>
          <w:p>
            <w:pPr>
              <w:pStyle w:val="Style7"/>
              <w:framePr w:w="1022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18"/>
              </w:rPr>
              <w:t>прочность растворов на сжатие в проектном возрасте характеризуют марками: М4, М10, М25, М50, М75, М100, М150, М200.</w:t>
            </w:r>
          </w:p>
          <w:p>
            <w:pPr>
              <w:pStyle w:val="Style7"/>
              <w:framePr w:w="1022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18"/>
              </w:rPr>
              <w:t>Известковое молоко должно иметь плотность не менее 1150 кг/м не более 1280 кг/м*...</w:t>
            </w:r>
          </w:p>
        </w:tc>
      </w:tr>
      <w:tr>
        <w:trPr>
          <w:trHeight w:val="446" w:hRule="exact"/>
        </w:trPr>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24" w:wrap="notBeside" w:vAnchor="text" w:hAnchor="text" w:xAlign="center" w:y="1"/>
              <w:widowControl w:val="0"/>
              <w:rPr>
                <w:sz w:val="10"/>
                <w:szCs w:val="10"/>
              </w:rPr>
            </w:pPr>
          </w:p>
        </w:tc>
      </w:tr>
    </w:tbl>
    <w:p>
      <w:pPr>
        <w:pStyle w:val="Style12"/>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(цитаты).</w:t>
      </w:r>
    </w:p>
    <w:p>
      <w:pPr>
        <w:widowControl w:val="0"/>
        <w:rPr>
          <w:sz w:val="2"/>
          <w:szCs w:val="2"/>
        </w:rPr>
      </w:pP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17"/>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Заказчика нарушившим требования части 13 статьи 34, пункта 2 части 1 статьи 64, части 6 статьи 66, пункта 2 части 6 статьи 67 Закона о контрактной системе.</w:t>
      </w:r>
      <w:r>
        <w:br w:type="page"/>
      </w:r>
    </w:p>
    <w:p>
      <w:pPr>
        <w:pStyle w:val="Style7"/>
        <w:numPr>
          <w:ilvl w:val="0"/>
          <w:numId w:val="17"/>
        </w:numPr>
        <w:widowControl w:val="0"/>
        <w:keepNext w:val="0"/>
        <w:keepLines w:val="0"/>
        <w:shd w:val="clear" w:color="auto" w:fill="auto"/>
        <w:bidi w:val="0"/>
        <w:jc w:val="both"/>
        <w:spacing w:before="0" w:after="68" w:line="331" w:lineRule="exact"/>
        <w:ind w:left="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7"/>
        </w:numPr>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№06/4132-17 для рассмотрения вопроса о возбуждении дела об административном правонарушении.</w:t>
      </w:r>
    </w:p>
    <w:p>
      <w:pPr>
        <w:pStyle w:val="Style7"/>
        <w:numPr>
          <w:ilvl w:val="0"/>
          <w:numId w:val="17"/>
        </w:numPr>
        <w:widowControl w:val="0"/>
        <w:keepNext w:val="0"/>
        <w:keepLines w:val="0"/>
        <w:shd w:val="clear" w:color="auto" w:fill="auto"/>
        <w:bidi w:val="0"/>
        <w:jc w:val="both"/>
        <w:spacing w:before="0" w:after="244"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30.10.2017 №06/12374.</w:t>
      </w:r>
    </w:p>
    <w:p>
      <w:pPr>
        <w:pStyle w:val="Style7"/>
        <w:widowControl w:val="0"/>
        <w:keepNext w:val="0"/>
        <w:keepLines w:val="0"/>
        <w:shd w:val="clear" w:color="auto" w:fill="auto"/>
        <w:bidi w:val="0"/>
        <w:jc w:val="both"/>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93"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 С. Муравьёв</w:t>
      </w:r>
    </w:p>
    <w:p>
      <w:pPr>
        <w:pStyle w:val="Style7"/>
        <w:tabs>
          <w:tab w:leader="none" w:pos="7793"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60" w:wrap="around" w:vAnchor="text" w:hAnchor="margin" w:x="13" w:y="-15"/>
        <w:widowControl w:val="0"/>
        <w:keepNext w:val="0"/>
        <w:keepLines w:val="0"/>
        <w:shd w:val="clear" w:color="auto" w:fill="auto"/>
        <w:bidi w:val="0"/>
        <w:jc w:val="left"/>
        <w:spacing w:before="0" w:after="0" w:line="260" w:lineRule="exact"/>
        <w:ind w:left="0" w:right="0" w:firstLine="0"/>
      </w:pPr>
      <w:r>
        <w:rPr>
          <w:rStyle w:val="CharStyle9"/>
        </w:rPr>
        <w:t>Член Комиссии:</w:t>
      </w:r>
    </w:p>
    <w:p>
      <w:pPr>
        <w:pStyle w:val="Style7"/>
        <w:tabs>
          <w:tab w:leader="none" w:pos="6235" w:val="left"/>
        </w:tabs>
        <w:widowControl w:val="0"/>
        <w:keepNext w:val="0"/>
        <w:keepLines w:val="0"/>
        <w:shd w:val="clear" w:color="auto" w:fill="auto"/>
        <w:bidi w:val="0"/>
        <w:jc w:val="both"/>
        <w:spacing w:before="0" w:after="0" w:line="260" w:lineRule="exact"/>
        <w:ind w:left="5800" w:right="0" w:firstLine="0"/>
        <w:sectPr>
          <w:type w:val="continuous"/>
          <w:pgSz w:w="11906" w:h="16838"/>
          <w:pgMar w:top="1386" w:left="915" w:right="757" w:bottom="877"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3"/>
        <w:widowControl w:val="0"/>
        <w:keepNext w:val="0"/>
        <w:keepLines w:val="0"/>
        <w:shd w:val="clear" w:color="auto" w:fill="auto"/>
        <w:bidi w:val="0"/>
        <w:spacing w:before="124" w:after="176"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9"/>
        </w:numPr>
        <w:tabs>
          <w:tab w:leader="none" w:pos="1398" w:val="left"/>
        </w:tabs>
        <w:widowControl w:val="0"/>
        <w:keepNext w:val="0"/>
        <w:keepLines w:val="0"/>
        <w:shd w:val="clear" w:color="auto" w:fill="auto"/>
        <w:bidi w:val="0"/>
        <w:jc w:val="left"/>
        <w:spacing w:before="0" w:after="0"/>
        <w:ind w:left="20" w:right="2040" w:firstLine="0"/>
      </w:pPr>
      <w:r>
        <w:rPr>
          <w:lang w:val="ru-RU" w:eastAsia="ru-RU" w:bidi="ru-RU"/>
          <w:w w:val="100"/>
          <w:spacing w:val="0"/>
          <w:color w:val="000000"/>
          <w:position w:val="0"/>
        </w:rPr>
        <w:t>№06/12594 На № б/н от 30.10.2017</w:t>
      </w:r>
    </w:p>
    <w:p>
      <w:pPr>
        <w:pStyle w:val="Style7"/>
        <w:numPr>
          <w:ilvl w:val="0"/>
          <w:numId w:val="2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440" w:firstLine="0"/>
      </w:pPr>
      <w:r>
        <w:rPr>
          <w:lang w:val="ru-RU" w:eastAsia="ru-RU" w:bidi="ru-RU"/>
          <w:w w:val="100"/>
          <w:spacing w:val="0"/>
          <w:color w:val="000000"/>
          <w:position w:val="0"/>
        </w:rPr>
        <w:t>Администрация Зыбинского сельского поселения Белогорского Района Республики Крым</w:t>
      </w:r>
    </w:p>
    <w:p>
      <w:pPr>
        <w:pStyle w:val="Style7"/>
        <w:widowControl w:val="0"/>
        <w:keepNext w:val="0"/>
        <w:keepLines w:val="0"/>
        <w:shd w:val="clear" w:color="auto" w:fill="auto"/>
        <w:bidi w:val="0"/>
        <w:jc w:val="left"/>
        <w:spacing w:before="0" w:after="300" w:line="322" w:lineRule="exact"/>
        <w:ind w:left="20" w:right="20" w:firstLine="0"/>
      </w:pPr>
      <w:r>
        <w:rPr>
          <w:lang w:val="ru-RU" w:eastAsia="ru-RU" w:bidi="ru-RU"/>
          <w:w w:val="100"/>
          <w:spacing w:val="0"/>
          <w:color w:val="000000"/>
          <w:position w:val="0"/>
        </w:rPr>
        <w:t>297610, Республика Крым, Белогорский р н, с. Зыбины, ул. Кирова, дом 13</w:t>
      </w:r>
    </w:p>
    <w:p>
      <w:pPr>
        <w:pStyle w:val="Style7"/>
        <w:numPr>
          <w:ilvl w:val="0"/>
          <w:numId w:val="2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20" w:firstLine="0"/>
        <w:sectPr>
          <w:pgSz w:w="11906" w:h="16838"/>
          <w:pgMar w:top="1409" w:left="808" w:right="1062" w:bottom="492" w:header="0" w:footer="3" w:gutter="0"/>
          <w:rtlGutter w:val="0"/>
          <w:cols w:num="2" w:space="102"/>
          <w:noEndnote/>
          <w:docGrid w:linePitch="360"/>
        </w:sectPr>
      </w:pPr>
      <w:r>
        <w:rPr>
          <w:lang w:val="ru-RU" w:eastAsia="ru-RU" w:bidi="ru-RU"/>
          <w:w w:val="100"/>
          <w:spacing w:val="0"/>
          <w:color w:val="000000"/>
          <w:position w:val="0"/>
        </w:rPr>
        <w:t>Общество с ограниченной ответственно стью «Симгидросервис» 295493, г. Симферополь, пос. Гресовский, ул. Кржижановского, 1, кв. 16</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21"/>
        </w:numPr>
        <w:tabs>
          <w:tab w:leader="none" w:pos="5329" w:val="left"/>
        </w:tabs>
        <w:widowControl w:val="0"/>
        <w:keepNext w:val="0"/>
        <w:keepLines w:val="0"/>
        <w:shd w:val="clear" w:color="auto" w:fill="auto"/>
        <w:bidi w:val="0"/>
        <w:jc w:val="left"/>
        <w:spacing w:before="0" w:after="0" w:line="322" w:lineRule="exact"/>
        <w:ind w:left="4980" w:right="300" w:firstLine="0"/>
      </w:pPr>
      <w:r>
        <w:rPr>
          <w:lang w:val="ru-RU" w:eastAsia="ru-RU" w:bidi="ru-RU"/>
          <w:w w:val="100"/>
          <w:spacing w:val="0"/>
          <w:color w:val="000000"/>
          <w:position w:val="0"/>
        </w:rPr>
        <w:t>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121151, г. Москва, наб. Тараса Шевченко,</w:t>
      </w:r>
    </w:p>
    <w:p>
      <w:pPr>
        <w:pStyle w:val="Style7"/>
        <w:tabs>
          <w:tab w:leader="none" w:pos="5334" w:val="left"/>
        </w:tabs>
        <w:widowControl w:val="0"/>
        <w:keepNext w:val="0"/>
        <w:keepLines w:val="0"/>
        <w:shd w:val="clear" w:color="auto" w:fill="auto"/>
        <w:bidi w:val="0"/>
        <w:jc w:val="both"/>
        <w:spacing w:before="0" w:after="60" w:line="322" w:lineRule="exact"/>
        <w:ind w:left="4980" w:right="0" w:firstLine="0"/>
      </w:pPr>
      <w:r>
        <w:rPr>
          <w:lang w:val="ru-RU" w:eastAsia="ru-RU" w:bidi="ru-RU"/>
          <w:w w:val="100"/>
          <w:spacing w:val="0"/>
          <w:color w:val="000000"/>
          <w:position w:val="0"/>
        </w:rPr>
        <w:t>д.</w:t>
        <w:tab/>
        <w:t>23А, сектор В, 25 этаж</w:t>
      </w:r>
    </w:p>
    <w:p>
      <w:pPr>
        <w:pStyle w:val="Style10"/>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Предписание по делу №06/4132-17 об устранении нарушений законодательства Российской Федерации о контрактной системе в сфере закупок</w:t>
      </w:r>
    </w:p>
    <w:p>
      <w:pPr>
        <w:pStyle w:val="Style7"/>
        <w:numPr>
          <w:ilvl w:val="0"/>
          <w:numId w:val="23"/>
        </w:numPr>
        <w:tabs>
          <w:tab w:leader="none" w:pos="8044" w:val="left"/>
          <w:tab w:leader="none" w:pos="8075" w:val="left"/>
        </w:tabs>
        <w:widowControl w:val="0"/>
        <w:keepNext w:val="0"/>
        <w:keepLines w:val="0"/>
        <w:shd w:val="clear" w:color="auto" w:fill="auto"/>
        <w:bidi w:val="0"/>
        <w:jc w:val="both"/>
        <w:spacing w:before="0" w:after="253"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229" w:line="322" w:lineRule="exact"/>
        <w:ind w:left="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248" w:line="260" w:lineRule="exact"/>
        <w:ind w:left="0" w:right="0" w:firstLine="84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109" w:line="322" w:lineRule="exact"/>
        <w:ind w:left="0" w:right="20" w:firstLine="840"/>
      </w:pPr>
      <w:r>
        <w:rPr>
          <w:lang w:val="ru-RU" w:eastAsia="ru-RU" w:bidi="ru-RU"/>
          <w:w w:val="100"/>
          <w:spacing w:val="0"/>
          <w:color w:val="000000"/>
          <w:position w:val="0"/>
        </w:rPr>
        <w:t>на основании решения Комиссии от 02.11.2017 по делу №06/4132-17 по итогам рассмотрения жалобы Заявителя от 30.10.2017 (вх. №4750/09 от 30.10.2017) на действия Заказчика при проведении аукциона в электронной форме «Капитальный ремонт общежития Белогорский район с. Зыбины ул. Кирова, 12» (извещение №0175300021817000010) (далее — Аукцион), в соответствии с частью 22 статьи 99,</w:t>
        <w:br w:type="page"/>
        <w:t>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21"/>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left"/>
        <w:spacing w:before="0" w:after="123" w:line="260" w:lineRule="exact"/>
        <w:ind w:left="4360" w:right="0" w:firstLine="0"/>
      </w:pPr>
      <w:r>
        <w:rPr>
          <w:lang w:val="ru-RU" w:eastAsia="ru-RU" w:bidi="ru-RU"/>
          <w:w w:val="100"/>
          <w:spacing w:val="0"/>
          <w:color w:val="000000"/>
          <w:position w:val="0"/>
        </w:rPr>
        <w:t>ПРЕДПИСЫВАЕТ:</w:t>
      </w:r>
    </w:p>
    <w:p>
      <w:pPr>
        <w:pStyle w:val="Style7"/>
        <w:numPr>
          <w:ilvl w:val="0"/>
          <w:numId w:val="25"/>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02.11.2017 по делу №06/4132-17.</w:t>
      </w:r>
    </w:p>
    <w:p>
      <w:pPr>
        <w:pStyle w:val="Style7"/>
        <w:numPr>
          <w:ilvl w:val="0"/>
          <w:numId w:val="25"/>
        </w:numPr>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xml:space="preserve"> Заказчику в срок до 24.11.2017 исполнить настоящее предписание и предоставить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7"/>
        <w:numPr>
          <w:ilvl w:val="0"/>
          <w:numId w:val="25"/>
        </w:numPr>
        <w:widowControl w:val="0"/>
        <w:keepNext w:val="0"/>
        <w:keepLines w:val="0"/>
        <w:shd w:val="clear" w:color="auto" w:fill="auto"/>
        <w:bidi w:val="0"/>
        <w:jc w:val="both"/>
        <w:spacing w:before="0" w:after="60" w:line="322" w:lineRule="exact"/>
        <w:ind w:left="2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 и приостановлении торгов от 30.10.2017 №06/12374.</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86" w:val="right"/>
          <w:tab w:leader="none" w:pos="8420" w:val="right"/>
          <w:tab w:leader="none" w:pos="962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2" w:val="right"/>
          <w:tab w:leader="none" w:pos="8401" w:val="right"/>
          <w:tab w:leader="none" w:pos="955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60" w:wrap="around" w:vAnchor="text" w:hAnchor="margin" w:x="6" w:y="-15"/>
        <w:widowControl w:val="0"/>
        <w:keepNext w:val="0"/>
        <w:keepLines w:val="0"/>
        <w:shd w:val="clear" w:color="auto" w:fill="auto"/>
        <w:bidi w:val="0"/>
        <w:jc w:val="left"/>
        <w:spacing w:before="0" w:after="0" w:line="260" w:lineRule="exact"/>
        <w:ind w:left="0" w:right="0" w:firstLine="0"/>
      </w:pPr>
      <w:r>
        <w:rPr>
          <w:rStyle w:val="CharStyle9"/>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442" w:left="911" w:right="781" w:bottom="87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3"/>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4)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Подпись к таблице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Подпись к таблице + Полужирный,Курсив"/>
    <w:basedOn w:val="CharStyle13"/>
    <w:rPr>
      <w:lang w:val="ru-RU" w:eastAsia="ru-RU" w:bidi="ru-RU"/>
      <w:b/>
      <w:bCs/>
      <w:i/>
      <w:iCs/>
      <w:w w:val="100"/>
      <w:spacing w:val="0"/>
      <w:color w:val="000000"/>
      <w:position w:val="0"/>
    </w:rPr>
  </w:style>
  <w:style w:type="character" w:customStyle="1" w:styleId="CharStyle16">
    <w:name w:val="Подпись к таблице (2)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 12 pt,Интервал 0 pt"/>
    <w:basedOn w:val="CharStyle8"/>
    <w:rPr>
      <w:lang w:val="ru-RU" w:eastAsia="ru-RU" w:bidi="ru-RU"/>
      <w:sz w:val="24"/>
      <w:szCs w:val="24"/>
      <w:w w:val="100"/>
      <w:spacing w:val="10"/>
      <w:color w:val="000000"/>
      <w:position w:val="0"/>
    </w:rPr>
  </w:style>
  <w:style w:type="character" w:customStyle="1" w:styleId="CharStyle18">
    <w:name w:val="Основной текст + 8,5 pt"/>
    <w:basedOn w:val="CharStyle8"/>
    <w:rPr>
      <w:lang w:val="ru-RU" w:eastAsia="ru-RU" w:bidi="ru-RU"/>
      <w:sz w:val="17"/>
      <w:szCs w:val="17"/>
      <w:w w:val="100"/>
      <w:spacing w:val="0"/>
      <w:color w:val="000000"/>
      <w:position w:val="0"/>
    </w:rPr>
  </w:style>
  <w:style w:type="character" w:customStyle="1" w:styleId="CharStyle19">
    <w:name w:val="Основной текст + 8,5 pt,Полужирный"/>
    <w:basedOn w:val="CharStyle8"/>
    <w:rPr>
      <w:lang w:val="ru-RU" w:eastAsia="ru-RU" w:bidi="ru-RU"/>
      <w:b/>
      <w:bCs/>
      <w:sz w:val="17"/>
      <w:szCs w:val="17"/>
      <w:w w:val="100"/>
      <w:spacing w:val="0"/>
      <w:color w:val="000000"/>
      <w:position w:val="0"/>
    </w:rPr>
  </w:style>
  <w:style w:type="character" w:customStyle="1" w:styleId="CharStyle20">
    <w:name w:val="Подпись к таблице"/>
    <w:basedOn w:val="CharStyle13"/>
    <w:rPr>
      <w:lang w:val="ru-RU" w:eastAsia="ru-RU" w:bidi="ru-RU"/>
      <w:u w:val="single"/>
      <w:w w:val="100"/>
      <w:spacing w:val="0"/>
      <w:color w:val="000000"/>
      <w:position w:val="0"/>
    </w:rPr>
  </w:style>
  <w:style w:type="character" w:customStyle="1" w:styleId="CharStyle21">
    <w:name w:val="Основной текст"/>
    <w:basedOn w:val="CharStyle8"/>
    <w:rPr>
      <w:lang w:val="ru-RU" w:eastAsia="ru-RU" w:bidi="ru-RU"/>
      <w:u w:val="single"/>
      <w:w w:val="100"/>
      <w:spacing w:val="0"/>
      <w:color w:val="000000"/>
      <w:position w:val="0"/>
    </w:rPr>
  </w:style>
  <w:style w:type="character" w:customStyle="1" w:styleId="CharStyle22">
    <w:name w:val="Основной текст"/>
    <w:basedOn w:val="CharStyle8"/>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Подпись к таблице"/>
    <w:basedOn w:val="Normal"/>
    <w:link w:val="CharStyle13"/>
    <w:pPr>
      <w:widowControl w:val="0"/>
      <w:shd w:val="clear" w:color="auto" w:fill="FFFFFF"/>
      <w:jc w:val="both"/>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5">
    <w:name w:val="Подпись к таблице (2)"/>
    <w:basedOn w:val="Normal"/>
    <w:link w:val="CharStyle16"/>
    <w:pPr>
      <w:widowControl w:val="0"/>
      <w:shd w:val="clear" w:color="auto" w:fill="FFFFFF"/>
      <w:jc w:val="both"/>
      <w:spacing w:line="274" w:lineRule="exact"/>
      <w:ind w:firstLine="600"/>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