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«Медикал лизинг-консалтинг» (далее - Заявитель)</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123371, г, Москва, Волоколамское шоссе, 81,</w:t>
      </w:r>
    </w:p>
    <w:p>
      <w:pPr>
        <w:pStyle w:val="Style5"/>
        <w:widowControl w:val="0"/>
        <w:keepNext w:val="0"/>
        <w:keepLines w:val="0"/>
        <w:shd w:val="clear" w:color="auto" w:fill="auto"/>
        <w:bidi w:val="0"/>
        <w:spacing w:before="0" w:after="0" w:line="230" w:lineRule="exact"/>
        <w:ind w:left="0" w:right="0" w:firstLine="0"/>
        <w:sectPr>
          <w:footnotePr>
            <w:pos w:val="pageBottom"/>
            <w:numFmt w:val="decimal"/>
            <w:numRestart w:val="continuous"/>
          </w:footnotePr>
          <w:type w:val="continuous"/>
          <w:pgSz w:w="11906" w:h="16838"/>
          <w:pgMar w:top="414" w:left="6154" w:right="1148" w:bottom="169" w:header="0" w:footer="3" w:gutter="0"/>
          <w:rtlGutter w:val="0"/>
          <w:cols w:space="720"/>
          <w:noEndnote/>
          <w:docGrid w:linePitch="360"/>
        </w:sectPr>
      </w:pPr>
      <w:r>
        <w:rPr>
          <w:lang w:val="ru-RU" w:eastAsia="ru-RU" w:bidi="ru-RU"/>
          <w:w w:val="100"/>
          <w:spacing w:val="0"/>
          <w:color w:val="000000"/>
          <w:position w:val="0"/>
        </w:rPr>
        <w:t>корп. 2, стр. 5</w:t>
      </w: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206" w:line="259" w:lineRule="exact"/>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141"/>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69"/>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rPr>
          <w:rStyle w:val="CharStyle11"/>
          <w:b/>
          <w:bCs/>
        </w:rPr>
        <w:t>to61@.fas.gov.ni</w:t>
      </w:r>
    </w:p>
    <w:p>
      <w:pPr>
        <w:pStyle w:val="Style12"/>
        <w:widowControl w:val="0"/>
        <w:keepNext/>
        <w:keepLines/>
        <w:shd w:val="clear" w:color="auto" w:fill="auto"/>
        <w:bidi w:val="0"/>
        <w:spacing w:before="0" w:after="0" w:line="340" w:lineRule="exact"/>
        <w:ind w:left="0" w:right="0" w:firstLine="0"/>
      </w:pPr>
      <w:bookmarkStart w:id="0" w:name="bookmark0"/>
      <w:r>
        <w:rPr>
          <w:lang w:val="ru-RU" w:eastAsia="ru-RU" w:bidi="ru-RU"/>
          <w:w w:val="100"/>
          <w:spacing w:val="0"/>
          <w:color w:val="000000"/>
          <w:position w:val="0"/>
        </w:rPr>
        <w:t>о</w:t>
      </w:r>
      <w:r>
        <w:rPr>
          <w:lang w:val="en-US" w:eastAsia="en-US" w:bidi="en-US"/>
          <w:w w:val="100"/>
          <w:spacing w:val="0"/>
          <w:color w:val="000000"/>
          <w:position w:val="0"/>
        </w:rPr>
        <w:t>MA.2PV7-</w:t>
      </w:r>
      <w:r>
        <w:rPr>
          <w:lang w:val="ru-RU" w:eastAsia="ru-RU" w:bidi="ru-RU"/>
          <w:w w:val="100"/>
          <w:spacing w:val="0"/>
          <w:color w:val="000000"/>
          <w:position w:val="0"/>
        </w:rPr>
        <w:t xml:space="preserve">№ </w:t>
      </w:r>
      <w:r>
        <w:rPr>
          <w:rStyle w:val="CharStyle14"/>
        </w:rPr>
        <w:t>26%о? /</w:t>
      </w:r>
      <w:r>
        <w:rPr>
          <w:lang w:val="ru-RU" w:eastAsia="ru-RU" w:bidi="ru-RU"/>
          <w:w w:val="100"/>
          <w:spacing w:val="0"/>
          <w:color w:val="000000"/>
          <w:position w:val="0"/>
        </w:rPr>
        <w:t>04</w:t>
      </w:r>
      <w:bookmarkEnd w:id="0"/>
    </w:p>
    <w:p>
      <w:pPr>
        <w:pStyle w:val="Style3"/>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Муниципальное бюджетное учреждение здравоохранения «Клинико</w:t>
        <w:softHyphen/>
        <w:t>диагностический центр «Здоровье» города Ростова-на-Дону» (далее - Заказчик)</w:t>
      </w:r>
    </w:p>
    <w:p>
      <w:pPr>
        <w:pStyle w:val="Style5"/>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344011, г. Ростов-на-Дону, пер.</w:t>
      </w:r>
    </w:p>
    <w:p>
      <w:pPr>
        <w:pStyle w:val="Style5"/>
        <w:widowControl w:val="0"/>
        <w:keepNext w:val="0"/>
        <w:keepLines w:val="0"/>
        <w:shd w:val="clear" w:color="auto" w:fill="auto"/>
        <w:bidi w:val="0"/>
        <w:spacing w:before="0" w:after="275" w:line="274" w:lineRule="exact"/>
        <w:ind w:left="0" w:right="20" w:firstLine="0"/>
      </w:pPr>
      <w:r>
        <w:rPr>
          <w:lang w:val="ru-RU" w:eastAsia="ru-RU" w:bidi="ru-RU"/>
          <w:w w:val="100"/>
          <w:spacing w:val="0"/>
          <w:color w:val="000000"/>
          <w:position w:val="0"/>
        </w:rPr>
        <w:t>Доломановский, 70/3</w:t>
      </w:r>
    </w:p>
    <w:p>
      <w:pPr>
        <w:pStyle w:val="Style3"/>
        <w:widowControl w:val="0"/>
        <w:keepNext w:val="0"/>
        <w:keepLines w:val="0"/>
        <w:shd w:val="clear" w:color="auto" w:fill="auto"/>
        <w:bidi w:val="0"/>
        <w:spacing w:before="0" w:after="0" w:line="230" w:lineRule="exact"/>
        <w:ind w:left="0" w:right="20" w:firstLine="0"/>
        <w:sectPr>
          <w:type w:val="continuous"/>
          <w:pgSz w:w="11906" w:h="16838"/>
          <w:pgMar w:top="414" w:left="941" w:right="1104" w:bottom="169" w:header="0" w:footer="3" w:gutter="0"/>
          <w:rtlGutter w:val="0"/>
          <w:cols w:num="2" w:space="476"/>
          <w:noEndnote/>
          <w:docGrid w:linePitch="360"/>
        </w:sectPr>
      </w:pPr>
      <w:r>
        <w:rPr>
          <w:lang w:val="ru-RU" w:eastAsia="ru-RU" w:bidi="ru-RU"/>
          <w:w w:val="100"/>
          <w:spacing w:val="0"/>
          <w:color w:val="000000"/>
          <w:position w:val="0"/>
        </w:rPr>
        <w:t>ЗАО «Сбербанк-АСТ» (далее - Оператор)</w:t>
      </w:r>
    </w:p>
    <w:p>
      <w:pPr>
        <w:widowControl w:val="0"/>
        <w:spacing w:before="77" w:after="7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274" w:lineRule="exact"/>
        <w:ind w:left="40" w:right="0" w:firstLine="0"/>
      </w:pPr>
      <w:r>
        <w:rPr>
          <w:lang w:val="ru-RU" w:eastAsia="ru-RU" w:bidi="ru-RU"/>
          <w:w w:val="100"/>
          <w:spacing w:val="0"/>
          <w:color w:val="000000"/>
          <w:position w:val="0"/>
        </w:rPr>
        <w:t>РЕШЕНИЕ</w:t>
      </w:r>
    </w:p>
    <w:p>
      <w:pPr>
        <w:pStyle w:val="Style5"/>
        <w:widowControl w:val="0"/>
        <w:keepNext w:val="0"/>
        <w:keepLines w:val="0"/>
        <w:shd w:val="clear" w:color="auto" w:fill="auto"/>
        <w:bidi w:val="0"/>
        <w:jc w:val="center"/>
        <w:spacing w:before="0" w:after="275" w:line="274" w:lineRule="exact"/>
        <w:ind w:left="40" w:right="0" w:firstLine="0"/>
      </w:pPr>
      <w:r>
        <w:rPr>
          <w:lang w:val="ru-RU" w:eastAsia="ru-RU" w:bidi="ru-RU"/>
          <w:w w:val="100"/>
          <w:spacing w:val="0"/>
          <w:color w:val="000000"/>
          <w:position w:val="0"/>
        </w:rPr>
        <w:t>по делу № 2135/04 о нарушении законодательства о контрактной системе в сфере закупок</w:t>
      </w:r>
    </w:p>
    <w:p>
      <w:pPr>
        <w:pStyle w:val="Style5"/>
        <w:tabs>
          <w:tab w:leader="none" w:pos="8292" w:val="center"/>
          <w:tab w:leader="none" w:pos="10044" w:val="right"/>
        </w:tabs>
        <w:widowControl w:val="0"/>
        <w:keepNext w:val="0"/>
        <w:keepLines w:val="0"/>
        <w:shd w:val="clear" w:color="auto" w:fill="auto"/>
        <w:bidi w:val="0"/>
        <w:jc w:val="both"/>
        <w:spacing w:before="0" w:after="194" w:line="230" w:lineRule="exact"/>
        <w:ind w:left="60" w:right="0" w:firstLine="0"/>
      </w:pPr>
      <w:r>
        <w:rPr>
          <w:lang w:val="ru-RU" w:eastAsia="ru-RU" w:bidi="ru-RU"/>
          <w:w w:val="100"/>
          <w:spacing w:val="0"/>
          <w:color w:val="000000"/>
          <w:position w:val="0"/>
        </w:rPr>
        <w:t>«03» ноября 2017 года</w:t>
        <w:tab/>
      </w:r>
      <w:r>
        <w:rPr>
          <w:lang w:val="ru-RU" w:eastAsia="ru-RU" w:bidi="ru-RU"/>
          <w:vertAlign w:val="superscript"/>
          <w:w w:val="100"/>
          <w:spacing w:val="0"/>
          <w:color w:val="000000"/>
          <w:position w:val="0"/>
        </w:rPr>
        <w:t>г</w:t>
      </w:r>
      <w:r>
        <w:rPr>
          <w:lang w:val="ru-RU" w:eastAsia="ru-RU" w:bidi="ru-RU"/>
          <w:w w:val="100"/>
          <w:spacing w:val="0"/>
          <w:color w:val="000000"/>
          <w:position w:val="0"/>
        </w:rPr>
        <w:t>-</w:t>
        <w:tab/>
        <w:t>Ростов-на-Дону</w:t>
      </w:r>
    </w:p>
    <w:p>
      <w:pPr>
        <w:pStyle w:val="Style5"/>
        <w:widowControl w:val="0"/>
        <w:keepNext w:val="0"/>
        <w:keepLines w:val="0"/>
        <w:shd w:val="clear" w:color="auto" w:fill="auto"/>
        <w:bidi w:val="0"/>
        <w:jc w:val="both"/>
        <w:spacing w:before="0" w:after="0" w:line="288" w:lineRule="exact"/>
        <w:ind w:left="60" w:right="60" w:firstLine="5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 (далее — Комиссия) в составе:</w:t>
      </w:r>
    </w:p>
    <w:p>
      <w:pPr>
        <w:pStyle w:val="Style5"/>
        <w:tabs>
          <w:tab w:leader="none" w:pos="5574" w:val="left"/>
        </w:tabs>
        <w:widowControl w:val="0"/>
        <w:keepNext w:val="0"/>
        <w:keepLines w:val="0"/>
        <w:shd w:val="clear" w:color="auto" w:fill="auto"/>
        <w:bidi w:val="0"/>
        <w:jc w:val="both"/>
        <w:spacing w:before="0" w:after="0" w:line="230" w:lineRule="exact"/>
        <w:ind w:left="1240" w:right="0" w:firstLine="0"/>
      </w:pPr>
      <w:r>
        <w:rPr>
          <w:lang w:val="ru-RU" w:eastAsia="ru-RU" w:bidi="ru-RU"/>
          <w:w w:val="100"/>
          <w:spacing w:val="0"/>
          <w:color w:val="000000"/>
          <w:position w:val="0"/>
        </w:rPr>
        <w:t>Председатель Комиссии</w:t>
        <w:tab/>
        <w:t>Коренченко К.А.</w:t>
      </w:r>
    </w:p>
    <w:p>
      <w:pPr>
        <w:pStyle w:val="Style5"/>
        <w:tabs>
          <w:tab w:leader="none" w:pos="5574" w:val="left"/>
        </w:tabs>
        <w:widowControl w:val="0"/>
        <w:keepNext w:val="0"/>
        <w:keepLines w:val="0"/>
        <w:shd w:val="clear" w:color="auto" w:fill="auto"/>
        <w:bidi w:val="0"/>
        <w:jc w:val="both"/>
        <w:spacing w:before="0" w:after="0" w:line="230" w:lineRule="exact"/>
        <w:ind w:left="1240" w:right="0" w:firstLine="0"/>
      </w:pPr>
      <w:r>
        <w:rPr>
          <w:lang w:val="ru-RU" w:eastAsia="ru-RU" w:bidi="ru-RU"/>
          <w:w w:val="100"/>
          <w:spacing w:val="0"/>
          <w:color w:val="000000"/>
          <w:position w:val="0"/>
        </w:rPr>
        <w:t>Члены Комиссии</w:t>
        <w:tab/>
        <w:t xml:space="preserve">Хребтиков </w:t>
      </w:r>
      <w:r>
        <w:rPr>
          <w:lang w:val="en-US" w:eastAsia="en-US" w:bidi="en-US"/>
          <w:w w:val="100"/>
          <w:spacing w:val="0"/>
          <w:color w:val="000000"/>
          <w:position w:val="0"/>
        </w:rPr>
        <w:t>P.P.</w:t>
      </w:r>
    </w:p>
    <w:p>
      <w:pPr>
        <w:pStyle w:val="Style5"/>
        <w:widowControl w:val="0"/>
        <w:keepNext w:val="0"/>
        <w:keepLines w:val="0"/>
        <w:shd w:val="clear" w:color="auto" w:fill="auto"/>
        <w:bidi w:val="0"/>
        <w:jc w:val="left"/>
        <w:spacing w:before="0" w:after="0" w:line="288" w:lineRule="exact"/>
        <w:ind w:left="5680" w:right="0" w:firstLine="0"/>
      </w:pPr>
      <w:r>
        <w:rPr>
          <w:lang w:val="ru-RU" w:eastAsia="ru-RU" w:bidi="ru-RU"/>
          <w:w w:val="100"/>
          <w:spacing w:val="0"/>
          <w:color w:val="000000"/>
          <w:position w:val="0"/>
        </w:rPr>
        <w:t>Пахальян А.И.,</w:t>
      </w:r>
    </w:p>
    <w:p>
      <w:pPr>
        <w:pStyle w:val="Style5"/>
        <w:widowControl w:val="0"/>
        <w:keepNext w:val="0"/>
        <w:keepLines w:val="0"/>
        <w:shd w:val="clear" w:color="auto" w:fill="auto"/>
        <w:bidi w:val="0"/>
        <w:jc w:val="both"/>
        <w:spacing w:before="0" w:after="226" w:line="288" w:lineRule="exact"/>
        <w:ind w:left="60" w:right="60" w:firstLine="540"/>
      </w:pPr>
      <w:r>
        <w:rPr>
          <w:lang w:val="ru-RU" w:eastAsia="ru-RU" w:bidi="ru-RU"/>
          <w:w w:val="100"/>
          <w:spacing w:val="0"/>
          <w:color w:val="000000"/>
          <w:position w:val="0"/>
        </w:rPr>
        <w:t>рассмотрев дело № 2135/04 по жалобе Заявителя о нарушении аукционной комиссией Заказчика норм Федерального Закона от 05.04.2013г. № 44-ФЗ «О контактной системе в сфере закупок товаров, работ, услуг для обеспечения государственных и муниципальных нужд» (далее - Закон), в присутствии представителя Заказчика (Косухин Р.В.), в отсутствие иных лиц, извещенных надлежащим образом,</w:t>
      </w:r>
    </w:p>
    <w:p>
      <w:pPr>
        <w:pStyle w:val="Style3"/>
        <w:widowControl w:val="0"/>
        <w:keepNext w:val="0"/>
        <w:keepLines w:val="0"/>
        <w:shd w:val="clear" w:color="auto" w:fill="auto"/>
        <w:bidi w:val="0"/>
        <w:jc w:val="left"/>
        <w:spacing w:before="0" w:after="182" w:line="230" w:lineRule="exact"/>
        <w:ind w:left="436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line="278" w:lineRule="exact"/>
        <w:ind w:left="60" w:right="60" w:firstLine="540"/>
      </w:pPr>
      <w:r>
        <w:rPr>
          <w:lang w:val="ru-RU" w:eastAsia="ru-RU" w:bidi="ru-RU"/>
          <w:w w:val="100"/>
          <w:spacing w:val="0"/>
          <w:color w:val="000000"/>
          <w:position w:val="0"/>
        </w:rPr>
        <w:t>30.10.2017г. (вх. № 16450) в Ростовское УФАС России поступила жалоба Заявителя на действия аукционной комиссии Заказчика при проведении электронного аукциона №0358300132517000168 «Закупка лекарственных препаратов на 2018г» (далее - аукцион).</w:t>
      </w:r>
    </w:p>
    <w:p>
      <w:pPr>
        <w:pStyle w:val="Style5"/>
        <w:widowControl w:val="0"/>
        <w:keepNext w:val="0"/>
        <w:keepLines w:val="0"/>
        <w:shd w:val="clear" w:color="auto" w:fill="auto"/>
        <w:bidi w:val="0"/>
        <w:jc w:val="both"/>
        <w:spacing w:before="0" w:after="0" w:line="278" w:lineRule="exact"/>
        <w:ind w:left="60" w:right="60" w:firstLine="540"/>
      </w:pPr>
      <w:r>
        <w:rPr>
          <w:lang w:val="ru-RU" w:eastAsia="ru-RU" w:bidi="ru-RU"/>
          <w:w w:val="100"/>
          <w:spacing w:val="0"/>
          <w:color w:val="000000"/>
          <w:position w:val="0"/>
        </w:rPr>
        <w:t>Заявитель оспаривает решение аукционной комиссии Заказчика об отказе в допуске к участию в аукционе по результатам рассмотрения первых частей заявок.</w:t>
      </w:r>
    </w:p>
    <w:p>
      <w:pPr>
        <w:pStyle w:val="Style5"/>
        <w:widowControl w:val="0"/>
        <w:keepNext w:val="0"/>
        <w:keepLines w:val="0"/>
        <w:shd w:val="clear" w:color="auto" w:fill="auto"/>
        <w:bidi w:val="0"/>
        <w:jc w:val="both"/>
        <w:spacing w:before="0" w:after="0" w:line="278" w:lineRule="exact"/>
        <w:ind w:left="60" w:right="60" w:firstLine="540"/>
      </w:pPr>
      <w:r>
        <w:rPr>
          <w:lang w:val="ru-RU" w:eastAsia="ru-RU" w:bidi="ru-RU"/>
          <w:w w:val="100"/>
          <w:spacing w:val="0"/>
          <w:color w:val="000000"/>
          <w:position w:val="0"/>
        </w:rPr>
        <w:t>Представитель Заказчика против доводов жалобы возражал, просил признать ее необоснованной, представил возражения, согласно которым Заказчик считает, что нарушений</w:t>
      </w:r>
    </w:p>
    <w:p>
      <w:pPr>
        <w:pStyle w:val="Style5"/>
        <w:widowControl w:val="0"/>
        <w:keepNext w:val="0"/>
        <w:keepLines w:val="0"/>
        <w:shd w:val="clear" w:color="auto" w:fill="auto"/>
        <w:bidi w:val="0"/>
        <w:jc w:val="both"/>
        <w:spacing w:before="0" w:after="0" w:line="230" w:lineRule="exact"/>
        <w:ind w:left="60" w:right="0" w:firstLine="0"/>
      </w:pPr>
      <w:r>
        <w:rPr>
          <w:lang w:val="ru-RU" w:eastAsia="ru-RU" w:bidi="ru-RU"/>
          <w:w w:val="100"/>
          <w:spacing w:val="0"/>
          <w:color w:val="000000"/>
          <w:position w:val="0"/>
        </w:rPr>
        <w:t>Закона допущено не было.</w:t>
      </w:r>
    </w:p>
    <w:p>
      <w:pPr>
        <w:pStyle w:val="Style5"/>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 xml:space="preserve">Изучив материалы дела, выслушав представителя Заказчика, а также по итогам проведения внеплановой проверки в соответствии с ч. 3 ст. 99 Закона, п. 3.31 Регламента, утвержденного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Комиссия Ростовского УФАС России установила.</w:t>
      </w:r>
    </w:p>
    <w:p>
      <w:pPr>
        <w:pStyle w:val="Style5"/>
        <w:widowControl w:val="0"/>
        <w:keepNext w:val="0"/>
        <w:keepLines w:val="0"/>
        <w:shd w:val="clear" w:color="auto" w:fill="auto"/>
        <w:bidi w:val="0"/>
        <w:jc w:val="both"/>
        <w:spacing w:before="0" w:after="0" w:line="298" w:lineRule="exact"/>
        <w:ind w:left="60" w:right="60" w:firstLine="540"/>
      </w:pPr>
      <w:r>
        <w:rPr>
          <w:lang w:val="ru-RU" w:eastAsia="ru-RU" w:bidi="ru-RU"/>
          <w:w w:val="100"/>
          <w:spacing w:val="0"/>
          <w:color w:val="000000"/>
          <w:position w:val="0"/>
        </w:rPr>
        <w:t>16.10.2017 на официальном сайте Единой информационной системы в сфере закупок опубликовано извещение о проведении аукциона и документация об электронном аукционе,</w:t>
      </w:r>
    </w:p>
    <w:p>
      <w:pPr>
        <w:pStyle w:val="Style5"/>
        <w:widowControl w:val="0"/>
        <w:keepNext w:val="0"/>
        <w:keepLines w:val="0"/>
        <w:shd w:val="clear" w:color="auto" w:fill="auto"/>
        <w:bidi w:val="0"/>
        <w:jc w:val="both"/>
        <w:spacing w:before="0" w:after="0" w:line="230" w:lineRule="exact"/>
        <w:ind w:left="60" w:right="0" w:firstLine="0"/>
      </w:pPr>
      <w:r>
        <w:rPr>
          <w:lang w:val="ru-RU" w:eastAsia="ru-RU" w:bidi="ru-RU"/>
          <w:w w:val="100"/>
          <w:spacing w:val="0"/>
          <w:color w:val="000000"/>
          <w:position w:val="0"/>
        </w:rPr>
        <w:t>утвержденная Заказчиком.</w:t>
      </w:r>
    </w:p>
    <w:p>
      <w:pPr>
        <w:pStyle w:val="Style5"/>
        <w:widowControl w:val="0"/>
        <w:keepNext w:val="0"/>
        <w:keepLines w:val="0"/>
        <w:shd w:val="clear" w:color="auto" w:fill="auto"/>
        <w:bidi w:val="0"/>
        <w:jc w:val="both"/>
        <w:spacing w:before="0" w:after="0" w:line="230" w:lineRule="exact"/>
        <w:ind w:left="60" w:right="0" w:firstLine="540"/>
      </w:pPr>
      <w:r>
        <w:rPr>
          <w:lang w:val="ru-RU" w:eastAsia="ru-RU" w:bidi="ru-RU"/>
          <w:w w:val="100"/>
          <w:spacing w:val="0"/>
          <w:color w:val="000000"/>
          <w:position w:val="0"/>
        </w:rPr>
        <w:t>Согласно извещению: 1) начальная (максимальная) цена контракта составляет 604 085,58</w:t>
      </w:r>
    </w:p>
    <w:p>
      <w:pPr>
        <w:pStyle w:val="Style5"/>
        <w:widowControl w:val="0"/>
        <w:keepNext w:val="0"/>
        <w:keepLines w:val="0"/>
        <w:shd w:val="clear" w:color="auto" w:fill="auto"/>
        <w:bidi w:val="0"/>
        <w:jc w:val="both"/>
        <w:spacing w:before="0" w:after="0" w:line="274" w:lineRule="exact"/>
        <w:ind w:left="60" w:right="0" w:firstLine="0"/>
      </w:pPr>
      <w:r>
        <w:rPr>
          <w:lang w:val="ru-RU" w:eastAsia="ru-RU" w:bidi="ru-RU"/>
          <w:w w:val="100"/>
          <w:spacing w:val="0"/>
          <w:color w:val="000000"/>
          <w:position w:val="0"/>
        </w:rPr>
        <w:t>руб.; 2) дата и время окончания подачи заявок: 24.10.2017 09:00.</w:t>
      </w:r>
    </w:p>
    <w:p>
      <w:pPr>
        <w:pStyle w:val="Style5"/>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Согласно Протоколу рассмотрения заявок на участие в электронном аукционе от 27.10.2017 №0358300132517000168-1 на участие в электронном аукционе подано 7 заявок.</w:t>
      </w:r>
    </w:p>
    <w:p>
      <w:pPr>
        <w:pStyle w:val="Style5"/>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Аукционной комиссией Заказчика принято решение об отказе в допуске участникам закупки №№ 1, </w:t>
      </w:r>
      <w:r>
        <w:rPr>
          <w:rStyle w:val="CharStyle15"/>
        </w:rPr>
        <w:t>3,4,</w:t>
      </w:r>
      <w:r>
        <w:rPr>
          <w:lang w:val="ru-RU" w:eastAsia="ru-RU" w:bidi="ru-RU"/>
          <w:w w:val="100"/>
          <w:spacing w:val="0"/>
          <w:color w:val="000000"/>
          <w:position w:val="0"/>
        </w:rPr>
        <w:t xml:space="preserve"> 6 (Заявитель), 7.</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Согласно Протоколу подведения итогов электронного аукциона от 02.11.2017 №0358300132517000168-3 победителем аукциона признано ЗАО «Фармацевт», ценовое предложение 486 288,81 руб. Контракт с победителем не заключен.</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соответствии с ч. 1 ст. 67 Закона аукционная комиссия проверяет первые части заявок на участие в электронном аукционе, содержащие информацию, предусмотренную частью 3 статьи 66 Закона,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соответствии с ч. 4 ст. 67 Закона участник электронного аукциона не допускается к участию в нем в случае:</w:t>
      </w:r>
    </w:p>
    <w:p>
      <w:pPr>
        <w:pStyle w:val="Style5"/>
        <w:numPr>
          <w:ilvl w:val="0"/>
          <w:numId w:val="1"/>
        </w:numPr>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5"/>
        <w:numPr>
          <w:ilvl w:val="0"/>
          <w:numId w:val="1"/>
        </w:numPr>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Аукционной комиссией принято решение об отказе в допуске участнику закупки № 6 (Заявитель) по причине того, что участником предлагаются к поставке товары, которые не соответствуют техническим характеристикам, указанным в технической части аукционной документации.</w:t>
      </w:r>
    </w:p>
    <w:p>
      <w:pPr>
        <w:pStyle w:val="Style5"/>
        <w:widowControl w:val="0"/>
        <w:keepNext w:val="0"/>
        <w:keepLines w:val="0"/>
        <w:shd w:val="clear" w:color="auto" w:fill="auto"/>
        <w:bidi w:val="0"/>
        <w:jc w:val="both"/>
        <w:spacing w:before="0" w:after="185" w:line="274" w:lineRule="exact"/>
        <w:ind w:left="20" w:right="0" w:firstLine="540"/>
      </w:pPr>
      <w:r>
        <w:rPr>
          <w:lang w:val="ru-RU" w:eastAsia="ru-RU" w:bidi="ru-RU"/>
          <w:w w:val="100"/>
          <w:spacing w:val="0"/>
          <w:color w:val="000000"/>
          <w:position w:val="0"/>
        </w:rPr>
        <w:t>Согласно описанию объекта закупки Заказчику к поставке необходим следующий товар:</w:t>
      </w:r>
    </w:p>
    <w:tbl>
      <w:tblPr>
        <w:tblOverlap w:val="never"/>
        <w:tblLayout w:type="fixed"/>
        <w:jc w:val="center"/>
      </w:tblPr>
      <w:tblGrid>
        <w:gridCol w:w="576"/>
        <w:gridCol w:w="2539"/>
        <w:gridCol w:w="5098"/>
        <w:gridCol w:w="850"/>
        <w:gridCol w:w="859"/>
      </w:tblGrid>
      <w:tr>
        <w:trPr>
          <w:trHeight w:val="869" w:hRule="exact"/>
        </w:trPr>
        <w:tc>
          <w:tcPr>
            <w:shd w:val="clear" w:color="auto" w:fill="FFFFFF"/>
            <w:tcBorders>
              <w:lef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left"/>
              <w:spacing w:before="0" w:after="60" w:line="230" w:lineRule="exact"/>
              <w:ind w:left="160" w:right="0" w:firstLine="0"/>
            </w:pPr>
            <w:r>
              <w:rPr>
                <w:rStyle w:val="CharStyle16"/>
              </w:rPr>
              <w:t>№</w:t>
            </w:r>
          </w:p>
          <w:p>
            <w:pPr>
              <w:pStyle w:val="Style5"/>
              <w:framePr w:w="9922" w:wrap="notBeside" w:vAnchor="text" w:hAnchor="text" w:xAlign="center" w:y="1"/>
              <w:widowControl w:val="0"/>
              <w:keepNext w:val="0"/>
              <w:keepLines w:val="0"/>
              <w:shd w:val="clear" w:color="auto" w:fill="auto"/>
              <w:bidi w:val="0"/>
              <w:jc w:val="left"/>
              <w:spacing w:before="60" w:after="0" w:line="230" w:lineRule="exact"/>
              <w:ind w:left="160" w:right="0" w:firstLine="0"/>
            </w:pPr>
            <w:r>
              <w:rPr>
                <w:rStyle w:val="CharStyle17"/>
              </w:rPr>
              <w:t>п/п</w:t>
            </w:r>
          </w:p>
        </w:tc>
        <w:tc>
          <w:tcPr>
            <w:shd w:val="clear" w:color="auto" w:fill="FFFFFF"/>
            <w:tcBorders>
              <w:lef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Международное</w:t>
            </w:r>
          </w:p>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непатентованное</w:t>
            </w:r>
          </w:p>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наименование</w:t>
            </w:r>
          </w:p>
        </w:tc>
        <w:tc>
          <w:tcPr>
            <w:shd w:val="clear" w:color="auto" w:fill="FFFFFF"/>
            <w:tcBorders>
              <w:lef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7"/>
              </w:rPr>
              <w:t>Форма выпуска, дозировка, расфасовка</w:t>
            </w:r>
          </w:p>
        </w:tc>
        <w:tc>
          <w:tcPr>
            <w:shd w:val="clear" w:color="auto" w:fill="FFFFFF"/>
            <w:tcBorders>
              <w:lef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left"/>
              <w:spacing w:before="0" w:after="120" w:line="230" w:lineRule="exact"/>
              <w:ind w:left="220" w:right="0" w:firstLine="0"/>
            </w:pPr>
            <w:r>
              <w:rPr>
                <w:rStyle w:val="CharStyle16"/>
              </w:rPr>
              <w:t>Ед.</w:t>
            </w:r>
          </w:p>
          <w:p>
            <w:pPr>
              <w:pStyle w:val="Style5"/>
              <w:framePr w:w="9922" w:wrap="notBeside" w:vAnchor="text" w:hAnchor="text" w:xAlign="center" w:y="1"/>
              <w:widowControl w:val="0"/>
              <w:keepNext w:val="0"/>
              <w:keepLines w:val="0"/>
              <w:shd w:val="clear" w:color="auto" w:fill="auto"/>
              <w:bidi w:val="0"/>
              <w:jc w:val="left"/>
              <w:spacing w:before="120" w:after="0" w:line="230" w:lineRule="exact"/>
              <w:ind w:left="220" w:right="0" w:firstLine="0"/>
            </w:pPr>
            <w:r>
              <w:rPr>
                <w:rStyle w:val="CharStyle17"/>
              </w:rPr>
              <w:t>изм.</w:t>
            </w:r>
          </w:p>
        </w:tc>
        <w:tc>
          <w:tcPr>
            <w:shd w:val="clear" w:color="auto" w:fill="FFFFFF"/>
            <w:tcBorders>
              <w:left w:val="single" w:sz="4"/>
              <w:righ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center"/>
              <w:spacing w:before="0" w:after="120" w:line="230" w:lineRule="exact"/>
              <w:ind w:left="0" w:right="0" w:firstLine="0"/>
            </w:pPr>
            <w:r>
              <w:rPr>
                <w:rStyle w:val="CharStyle17"/>
              </w:rPr>
              <w:t>Кол-</w:t>
            </w:r>
          </w:p>
          <w:p>
            <w:pPr>
              <w:pStyle w:val="Style5"/>
              <w:framePr w:w="9922" w:wrap="notBeside" w:vAnchor="text" w:hAnchor="text" w:xAlign="center" w:y="1"/>
              <w:widowControl w:val="0"/>
              <w:keepNext w:val="0"/>
              <w:keepLines w:val="0"/>
              <w:shd w:val="clear" w:color="auto" w:fill="auto"/>
              <w:bidi w:val="0"/>
              <w:jc w:val="center"/>
              <w:spacing w:before="120" w:after="0" w:line="230" w:lineRule="exact"/>
              <w:ind w:left="0" w:right="0" w:firstLine="0"/>
            </w:pPr>
            <w:r>
              <w:rPr>
                <w:rStyle w:val="CharStyle17"/>
              </w:rPr>
              <w:t>во</w:t>
            </w:r>
          </w:p>
        </w:tc>
      </w:tr>
      <w:tr>
        <w:trPr>
          <w:trHeight w:val="859" w:hRule="exact"/>
        </w:trPr>
        <w:tc>
          <w:tcPr>
            <w:shd w:val="clear" w:color="auto" w:fill="FFFFFF"/>
            <w:tcBorders>
              <w:left w:val="single" w:sz="4"/>
              <w:top w:val="single" w:sz="4"/>
              <w:bottom w:val="single" w:sz="4"/>
            </w:tcBorders>
            <w:vAlign w:val="top"/>
          </w:tcPr>
          <w:p>
            <w:pPr>
              <w:pStyle w:val="Style5"/>
              <w:framePr w:w="9922"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16"/>
              </w:rPr>
              <w:t>1</w:t>
            </w:r>
          </w:p>
        </w:tc>
        <w:tc>
          <w:tcPr>
            <w:shd w:val="clear" w:color="auto" w:fill="FFFFFF"/>
            <w:tcBorders>
              <w:left w:val="single" w:sz="4"/>
              <w:top w:val="single" w:sz="4"/>
              <w:bottom w:val="single" w:sz="4"/>
            </w:tcBorders>
            <w:vAlign w:val="center"/>
          </w:tcPr>
          <w:p>
            <w:pPr>
              <w:pStyle w:val="Style5"/>
              <w:framePr w:w="9922" w:wrap="notBeside" w:vAnchor="text" w:hAnchor="text" w:xAlign="center" w:y="1"/>
              <w:widowControl w:val="0"/>
              <w:keepNext w:val="0"/>
              <w:keepLines w:val="0"/>
              <w:shd w:val="clear" w:color="auto" w:fill="auto"/>
              <w:bidi w:val="0"/>
              <w:jc w:val="center"/>
              <w:spacing w:before="0" w:after="60" w:line="230" w:lineRule="exact"/>
              <w:ind w:left="0" w:right="0" w:firstLine="0"/>
            </w:pPr>
            <w:r>
              <w:rPr>
                <w:rStyle w:val="CharStyle16"/>
              </w:rPr>
              <w:t>Имипенем+[Циластат</w:t>
            </w:r>
          </w:p>
          <w:p>
            <w:pPr>
              <w:pStyle w:val="Style5"/>
              <w:framePr w:w="9922" w:wrap="notBeside" w:vAnchor="text" w:hAnchor="text" w:xAlign="center" w:y="1"/>
              <w:widowControl w:val="0"/>
              <w:keepNext w:val="0"/>
              <w:keepLines w:val="0"/>
              <w:shd w:val="clear" w:color="auto" w:fill="auto"/>
              <w:bidi w:val="0"/>
              <w:jc w:val="center"/>
              <w:spacing w:before="60" w:after="0" w:line="230" w:lineRule="exact"/>
              <w:ind w:left="0" w:right="0" w:firstLine="0"/>
            </w:pPr>
            <w:r>
              <w:rPr>
                <w:rStyle w:val="CharStyle16"/>
              </w:rPr>
              <w:t>ин]</w:t>
            </w:r>
          </w:p>
        </w:tc>
        <w:tc>
          <w:tcPr>
            <w:shd w:val="clear" w:color="auto" w:fill="FFFFFF"/>
            <w:tcBorders>
              <w:left w:val="single" w:sz="4"/>
              <w:top w:val="single" w:sz="4"/>
              <w:bottom w:val="single" w:sz="4"/>
            </w:tcBorders>
            <w:vAlign w:val="bottom"/>
          </w:tcPr>
          <w:p>
            <w:pPr>
              <w:pStyle w:val="Style5"/>
              <w:framePr w:w="9922"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6"/>
              </w:rPr>
              <w:t>порошок для приготовления раствора для инфузий, 500 мг+500 мг, 20 мл - флаконы (10) - под доны пластиковые</w:t>
            </w:r>
          </w:p>
        </w:tc>
        <w:tc>
          <w:tcPr>
            <w:shd w:val="clear" w:color="auto" w:fill="FFFFFF"/>
            <w:tcBorders>
              <w:left w:val="single" w:sz="4"/>
              <w:top w:val="single" w:sz="4"/>
              <w:bottom w:val="single" w:sz="4"/>
            </w:tcBorders>
            <w:vAlign w:val="top"/>
          </w:tcPr>
          <w:p>
            <w:pPr>
              <w:pStyle w:val="Style5"/>
              <w:framePr w:w="9922" w:wrap="notBeside" w:vAnchor="text" w:hAnchor="text" w:xAlign="center" w:y="1"/>
              <w:widowControl w:val="0"/>
              <w:keepNext w:val="0"/>
              <w:keepLines w:val="0"/>
              <w:shd w:val="clear" w:color="auto" w:fill="auto"/>
              <w:bidi w:val="0"/>
              <w:jc w:val="left"/>
              <w:spacing w:before="0" w:after="0" w:line="230" w:lineRule="exact"/>
              <w:ind w:left="220" w:right="0" w:firstLine="0"/>
            </w:pPr>
            <w:r>
              <w:rPr>
                <w:rStyle w:val="CharStyle16"/>
              </w:rPr>
              <w:t>упак</w:t>
            </w:r>
          </w:p>
        </w:tc>
        <w:tc>
          <w:tcPr>
            <w:shd w:val="clear" w:color="auto" w:fill="FFFFFF"/>
            <w:tcBorders>
              <w:left w:val="single" w:sz="4"/>
              <w:right w:val="single" w:sz="4"/>
              <w:top w:val="single" w:sz="4"/>
              <w:bottom w:val="single" w:sz="4"/>
            </w:tcBorders>
            <w:vAlign w:val="top"/>
          </w:tcPr>
          <w:p>
            <w:pPr>
              <w:pStyle w:val="Style5"/>
              <w:framePr w:w="99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6"/>
              </w:rPr>
              <w:t>90</w:t>
            </w:r>
          </w:p>
        </w:tc>
      </w:tr>
    </w:tbl>
    <w:p>
      <w:pPr>
        <w:widowControl w:val="0"/>
        <w:spacing w:line="240" w:lineRule="exact"/>
        <w:rPr>
          <w:sz w:val="2"/>
          <w:szCs w:val="2"/>
        </w:rPr>
      </w:pPr>
    </w:p>
    <w:p>
      <w:pPr>
        <w:pStyle w:val="Style18"/>
        <w:framePr w:w="9922" w:wrap="notBeside" w:vAnchor="text" w:hAnchor="text" w:xAlign="center" w:y="1"/>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Заявителем в заявке указаны следующие характеристики предлагаемого к поставке товара:</w:t>
      </w:r>
    </w:p>
    <w:tbl>
      <w:tblPr>
        <w:tblOverlap w:val="never"/>
        <w:tblLayout w:type="fixed"/>
        <w:jc w:val="center"/>
      </w:tblPr>
      <w:tblGrid>
        <w:gridCol w:w="576"/>
        <w:gridCol w:w="2549"/>
        <w:gridCol w:w="2539"/>
        <w:gridCol w:w="2554"/>
        <w:gridCol w:w="845"/>
        <w:gridCol w:w="859"/>
      </w:tblGrid>
      <w:tr>
        <w:trPr>
          <w:trHeight w:val="1406" w:hRule="exact"/>
        </w:trPr>
        <w:tc>
          <w:tcPr>
            <w:shd w:val="clear" w:color="auto" w:fill="FFFFFF"/>
            <w:tcBorders>
              <w:lef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left"/>
              <w:spacing w:before="0" w:after="60" w:line="230" w:lineRule="exact"/>
              <w:ind w:left="160" w:right="0" w:firstLine="0"/>
            </w:pPr>
            <w:r>
              <w:rPr>
                <w:rStyle w:val="CharStyle16"/>
              </w:rPr>
              <w:t>№</w:t>
            </w:r>
          </w:p>
          <w:p>
            <w:pPr>
              <w:pStyle w:val="Style5"/>
              <w:framePr w:w="9922" w:wrap="notBeside" w:vAnchor="text" w:hAnchor="text" w:xAlign="center" w:y="1"/>
              <w:widowControl w:val="0"/>
              <w:keepNext w:val="0"/>
              <w:keepLines w:val="0"/>
              <w:shd w:val="clear" w:color="auto" w:fill="auto"/>
              <w:bidi w:val="0"/>
              <w:jc w:val="left"/>
              <w:spacing w:before="60" w:after="0" w:line="230" w:lineRule="exact"/>
              <w:ind w:left="160" w:right="0" w:firstLine="0"/>
            </w:pPr>
            <w:r>
              <w:rPr>
                <w:rStyle w:val="CharStyle17"/>
              </w:rPr>
              <w:t>п/п</w:t>
            </w:r>
          </w:p>
        </w:tc>
        <w:tc>
          <w:tcPr>
            <w:shd w:val="clear" w:color="auto" w:fill="FFFFFF"/>
            <w:tcBorders>
              <w:lef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Международное непатентов анно е наименование</w:t>
            </w:r>
          </w:p>
        </w:tc>
        <w:tc>
          <w:tcPr>
            <w:shd w:val="clear" w:color="auto" w:fill="FFFFFF"/>
            <w:tcBorders>
              <w:left w:val="single" w:sz="4"/>
              <w:top w:val="single" w:sz="4"/>
            </w:tcBorders>
            <w:vAlign w:val="bottom"/>
          </w:tcPr>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Торговое</w:t>
            </w:r>
          </w:p>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наименование,</w:t>
            </w:r>
          </w:p>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производитель,</w:t>
            </w:r>
          </w:p>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страна</w:t>
            </w:r>
          </w:p>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происхождения</w:t>
            </w:r>
          </w:p>
        </w:tc>
        <w:tc>
          <w:tcPr>
            <w:shd w:val="clear" w:color="auto" w:fill="FFFFFF"/>
            <w:tcBorders>
              <w:lef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Форма выпуска, дозировка, расфасовка</w:t>
            </w:r>
          </w:p>
        </w:tc>
        <w:tc>
          <w:tcPr>
            <w:shd w:val="clear" w:color="auto" w:fill="FFFFFF"/>
            <w:tcBorders>
              <w:lef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left"/>
              <w:spacing w:before="0" w:after="120" w:line="230" w:lineRule="exact"/>
              <w:ind w:left="220" w:right="0" w:firstLine="0"/>
            </w:pPr>
            <w:r>
              <w:rPr>
                <w:rStyle w:val="CharStyle17"/>
              </w:rPr>
              <w:t>Ед.</w:t>
            </w:r>
          </w:p>
          <w:p>
            <w:pPr>
              <w:pStyle w:val="Style5"/>
              <w:framePr w:w="9922" w:wrap="notBeside" w:vAnchor="text" w:hAnchor="text" w:xAlign="center" w:y="1"/>
              <w:widowControl w:val="0"/>
              <w:keepNext w:val="0"/>
              <w:keepLines w:val="0"/>
              <w:shd w:val="clear" w:color="auto" w:fill="auto"/>
              <w:bidi w:val="0"/>
              <w:jc w:val="left"/>
              <w:spacing w:before="120" w:after="0" w:line="230" w:lineRule="exact"/>
              <w:ind w:left="220" w:right="0" w:firstLine="0"/>
            </w:pPr>
            <w:r>
              <w:rPr>
                <w:rStyle w:val="CharStyle17"/>
              </w:rPr>
              <w:t>изм.</w:t>
            </w:r>
          </w:p>
        </w:tc>
        <w:tc>
          <w:tcPr>
            <w:shd w:val="clear" w:color="auto" w:fill="FFFFFF"/>
            <w:tcBorders>
              <w:left w:val="single" w:sz="4"/>
              <w:right w:val="single" w:sz="4"/>
              <w:top w:val="single" w:sz="4"/>
            </w:tcBorders>
            <w:vAlign w:val="top"/>
          </w:tcPr>
          <w:p>
            <w:pPr>
              <w:pStyle w:val="Style5"/>
              <w:framePr w:w="9922" w:wrap="notBeside" w:vAnchor="text" w:hAnchor="text" w:xAlign="center" w:y="1"/>
              <w:widowControl w:val="0"/>
              <w:keepNext w:val="0"/>
              <w:keepLines w:val="0"/>
              <w:shd w:val="clear" w:color="auto" w:fill="auto"/>
              <w:bidi w:val="0"/>
              <w:jc w:val="center"/>
              <w:spacing w:before="0" w:after="120" w:line="230" w:lineRule="exact"/>
              <w:ind w:left="0" w:right="0" w:firstLine="0"/>
            </w:pPr>
            <w:r>
              <w:rPr>
                <w:rStyle w:val="CharStyle17"/>
              </w:rPr>
              <w:t>Кол-</w:t>
            </w:r>
          </w:p>
          <w:p>
            <w:pPr>
              <w:pStyle w:val="Style5"/>
              <w:framePr w:w="9922" w:wrap="notBeside" w:vAnchor="text" w:hAnchor="text" w:xAlign="center" w:y="1"/>
              <w:widowControl w:val="0"/>
              <w:keepNext w:val="0"/>
              <w:keepLines w:val="0"/>
              <w:shd w:val="clear" w:color="auto" w:fill="auto"/>
              <w:bidi w:val="0"/>
              <w:jc w:val="center"/>
              <w:spacing w:before="120" w:after="0" w:line="230" w:lineRule="exact"/>
              <w:ind w:left="0" w:right="0" w:firstLine="0"/>
            </w:pPr>
            <w:r>
              <w:rPr>
                <w:rStyle w:val="CharStyle17"/>
              </w:rPr>
              <w:t>во</w:t>
            </w:r>
          </w:p>
        </w:tc>
      </w:tr>
      <w:tr>
        <w:trPr>
          <w:trHeight w:val="2256" w:hRule="exact"/>
        </w:trPr>
        <w:tc>
          <w:tcPr>
            <w:shd w:val="clear" w:color="auto" w:fill="FFFFFF"/>
            <w:tcBorders>
              <w:left w:val="single" w:sz="4"/>
              <w:top w:val="single" w:sz="4"/>
              <w:bottom w:val="single" w:sz="4"/>
            </w:tcBorders>
            <w:vAlign w:val="top"/>
          </w:tcPr>
          <w:p>
            <w:pPr>
              <w:pStyle w:val="Style5"/>
              <w:framePr w:w="9922"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16"/>
              </w:rPr>
              <w:t>1</w:t>
            </w:r>
          </w:p>
        </w:tc>
        <w:tc>
          <w:tcPr>
            <w:shd w:val="clear" w:color="auto" w:fill="FFFFFF"/>
            <w:tcBorders>
              <w:left w:val="single" w:sz="4"/>
              <w:top w:val="single" w:sz="4"/>
              <w:bottom w:val="single" w:sz="4"/>
            </w:tcBorders>
            <w:vAlign w:val="center"/>
          </w:tcPr>
          <w:p>
            <w:pPr>
              <w:pStyle w:val="Style5"/>
              <w:framePr w:w="9922" w:wrap="notBeside" w:vAnchor="text" w:hAnchor="text" w:xAlign="center" w:y="1"/>
              <w:widowControl w:val="0"/>
              <w:keepNext w:val="0"/>
              <w:keepLines w:val="0"/>
              <w:shd w:val="clear" w:color="auto" w:fill="auto"/>
              <w:bidi w:val="0"/>
              <w:jc w:val="center"/>
              <w:spacing w:before="0" w:after="60" w:line="230" w:lineRule="exact"/>
              <w:ind w:left="0" w:right="0" w:firstLine="0"/>
            </w:pPr>
            <w:r>
              <w:rPr>
                <w:rStyle w:val="CharStyle16"/>
              </w:rPr>
              <w:t>Имипенем+[Циластат</w:t>
            </w:r>
          </w:p>
          <w:p>
            <w:pPr>
              <w:pStyle w:val="Style5"/>
              <w:framePr w:w="9922" w:wrap="notBeside" w:vAnchor="text" w:hAnchor="text" w:xAlign="center" w:y="1"/>
              <w:widowControl w:val="0"/>
              <w:keepNext w:val="0"/>
              <w:keepLines w:val="0"/>
              <w:shd w:val="clear" w:color="auto" w:fill="auto"/>
              <w:bidi w:val="0"/>
              <w:jc w:val="center"/>
              <w:spacing w:before="60" w:after="0" w:line="230" w:lineRule="exact"/>
              <w:ind w:left="0" w:right="0" w:firstLine="0"/>
            </w:pPr>
            <w:r>
              <w:rPr>
                <w:rStyle w:val="CharStyle16"/>
              </w:rPr>
              <w:t>ин]</w:t>
            </w:r>
          </w:p>
        </w:tc>
        <w:tc>
          <w:tcPr>
            <w:shd w:val="clear" w:color="auto" w:fill="FFFFFF"/>
            <w:tcBorders>
              <w:left w:val="single" w:sz="4"/>
              <w:top w:val="single" w:sz="4"/>
              <w:bottom w:val="single" w:sz="4"/>
            </w:tcBorders>
            <w:vAlign w:val="bottom"/>
          </w:tcPr>
          <w:p>
            <w:pPr>
              <w:pStyle w:val="Style5"/>
              <w:framePr w:w="9922" w:wrap="notBeside" w:vAnchor="text" w:hAnchor="text" w:xAlign="center" w:y="1"/>
              <w:widowControl w:val="0"/>
              <w:keepNext w:val="0"/>
              <w:keepLines w:val="0"/>
              <w:shd w:val="clear" w:color="auto" w:fill="auto"/>
              <w:bidi w:val="0"/>
              <w:jc w:val="center"/>
              <w:spacing w:before="0" w:after="240" w:line="274" w:lineRule="exact"/>
              <w:ind w:left="0" w:right="0" w:firstLine="0"/>
            </w:pPr>
            <w:r>
              <w:rPr>
                <w:rStyle w:val="CharStyle16"/>
              </w:rPr>
              <w:t>Имипенем + Циластатин</w:t>
            </w:r>
          </w:p>
          <w:p>
            <w:pPr>
              <w:pStyle w:val="Style5"/>
              <w:framePr w:w="9922" w:wrap="notBeside" w:vAnchor="text" w:hAnchor="text" w:xAlign="center" w:y="1"/>
              <w:widowControl w:val="0"/>
              <w:keepNext w:val="0"/>
              <w:keepLines w:val="0"/>
              <w:shd w:val="clear" w:color="auto" w:fill="auto"/>
              <w:bidi w:val="0"/>
              <w:jc w:val="center"/>
              <w:spacing w:before="240" w:after="0" w:line="274" w:lineRule="exact"/>
              <w:ind w:left="0" w:right="0" w:firstLine="0"/>
            </w:pPr>
            <w:r>
              <w:rPr>
                <w:rStyle w:val="CharStyle16"/>
              </w:rPr>
              <w:t>ОАО «Красфарма», Россия. Страна происхождения - Россия</w:t>
            </w:r>
          </w:p>
        </w:tc>
        <w:tc>
          <w:tcPr>
            <w:shd w:val="clear" w:color="auto" w:fill="FFFFFF"/>
            <w:tcBorders>
              <w:left w:val="single" w:sz="4"/>
              <w:top w:val="single" w:sz="4"/>
              <w:bottom w:val="single" w:sz="4"/>
            </w:tcBorders>
            <w:vAlign w:val="center"/>
          </w:tcPr>
          <w:p>
            <w:pPr>
              <w:pStyle w:val="Style5"/>
              <w:framePr w:w="99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6"/>
              </w:rPr>
              <w:t>порошок для приготовления раствора для инфузий 500 мг + 500 мг флакон 20 мл №1 (флаконы (1) - пачки картонные)</w:t>
            </w:r>
          </w:p>
        </w:tc>
        <w:tc>
          <w:tcPr>
            <w:shd w:val="clear" w:color="auto" w:fill="FFFFFF"/>
            <w:tcBorders>
              <w:left w:val="single" w:sz="4"/>
              <w:top w:val="single" w:sz="4"/>
              <w:bottom w:val="single" w:sz="4"/>
            </w:tcBorders>
            <w:vAlign w:val="top"/>
          </w:tcPr>
          <w:p>
            <w:pPr>
              <w:pStyle w:val="Style5"/>
              <w:framePr w:w="9922" w:wrap="notBeside" w:vAnchor="text" w:hAnchor="text" w:xAlign="center" w:y="1"/>
              <w:widowControl w:val="0"/>
              <w:keepNext w:val="0"/>
              <w:keepLines w:val="0"/>
              <w:shd w:val="clear" w:color="auto" w:fill="auto"/>
              <w:bidi w:val="0"/>
              <w:jc w:val="left"/>
              <w:spacing w:before="0" w:after="0" w:line="230" w:lineRule="exact"/>
              <w:ind w:left="220" w:right="0" w:firstLine="0"/>
            </w:pPr>
            <w:r>
              <w:rPr>
                <w:rStyle w:val="CharStyle16"/>
              </w:rPr>
              <w:t>упак</w:t>
            </w:r>
          </w:p>
        </w:tc>
        <w:tc>
          <w:tcPr>
            <w:shd w:val="clear" w:color="auto" w:fill="FFFFFF"/>
            <w:tcBorders>
              <w:left w:val="single" w:sz="4"/>
              <w:right w:val="single" w:sz="4"/>
              <w:top w:val="single" w:sz="4"/>
              <w:bottom w:val="single" w:sz="4"/>
            </w:tcBorders>
            <w:vAlign w:val="top"/>
          </w:tcPr>
          <w:p>
            <w:pPr>
              <w:pStyle w:val="Style5"/>
              <w:framePr w:w="99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6"/>
              </w:rPr>
              <w:t>900</w:t>
            </w:r>
          </w:p>
        </w:tc>
      </w:tr>
    </w:tbl>
    <w:p>
      <w:pPr>
        <w:widowControl w:val="0"/>
        <w:rPr>
          <w:sz w:val="2"/>
          <w:szCs w:val="2"/>
        </w:rPr>
      </w:pPr>
    </w:p>
    <w:p>
      <w:pPr>
        <w:pStyle w:val="Style5"/>
        <w:widowControl w:val="0"/>
        <w:keepNext w:val="0"/>
        <w:keepLines w:val="0"/>
        <w:shd w:val="clear" w:color="auto" w:fill="auto"/>
        <w:bidi w:val="0"/>
        <w:jc w:val="both"/>
        <w:spacing w:before="204" w:after="0" w:line="278" w:lineRule="exact"/>
        <w:ind w:left="20" w:right="20" w:firstLine="540"/>
      </w:pPr>
      <w:r>
        <w:rPr>
          <w:lang w:val="ru-RU" w:eastAsia="ru-RU" w:bidi="ru-RU"/>
          <w:w w:val="100"/>
          <w:spacing w:val="0"/>
          <w:color w:val="000000"/>
          <w:position w:val="0"/>
        </w:rPr>
        <w:t>Согласно п. 1 ч. 1 ст. 33 Закона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5"/>
        <w:widowControl w:val="0"/>
        <w:keepNext w:val="0"/>
        <w:keepLines w:val="0"/>
        <w:shd w:val="clear" w:color="auto" w:fill="auto"/>
        <w:bidi w:val="0"/>
        <w:jc w:val="both"/>
        <w:spacing w:before="0" w:after="0" w:line="278" w:lineRule="exact"/>
        <w:ind w:left="20" w:right="20" w:firstLine="540"/>
      </w:pPr>
      <w:r>
        <w:rPr>
          <w:lang w:val="ru-RU" w:eastAsia="ru-RU" w:bidi="ru-RU"/>
          <w:w w:val="100"/>
          <w:spacing w:val="0"/>
          <w:color w:val="000000"/>
          <w:position w:val="0"/>
        </w:rPr>
        <w:t>В соответствии с п. 6 ч. 1 ст. 33 Закона если объектом закупки являются лекарственные средства, документация о закупке должна содержать указание на международные</w:t>
        <w:br w:type="page"/>
        <w:t>непатентованные наименования лекарственных средств или при отсутствии таких наименований химические, грулпировочные наименования.</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Фасовка лекарственного препарата предложенного Заявителем никаким образом не влияет ни на фармакологические свойства препарата, ни на удобство его использования медицинским персоналом. Предлагаемый препарат расфасован во флаконы, как того требует аукционная документация, только данные флаконы по одной штуке упакованы еще в картонные пачки.</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Терапевтический эффект лекарственного препарат зависит от его лекарственной формы и количества действующего вещества, содержащего в единице объема. Лекарственный препарат имеет первичную упаковку, которая непосредственно контактирует с лекарством и влияет на стабильность лекарственного препарата в процессе его хранения, транспортировки и использования. Вторичная упаковка товара, его фасовка не влияет на терапевтические свойства лекарственного средства. Указанный способ упаковки препарата никак не отражается на его клинической эффективности и возможности применения в соответствии с целевым назначением. Требование к вторичной упаковке не относится к показателям лекарственного средства и не является его качественной характеристикой.</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Изучив заявку Заявителя на участие в аукционе, Комиссия Ростовского УФАС России установила, что заявка содержит все необходимые клинические и терапевтические характеристики предлагаемого к поставке товара, в том чисел: указание на международное непатентованное наименование лекарственного средства, его торговое наименование, форму выпуска и дозировку.</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Таким образом, аукционной комиссией Заказчика, в связи с отказом Заявителю в допуске к участию в аукционе допущено нарушение ч. 5 ст. 67 Закона.</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Кроме того, установлено, что по аналогичным основаниям аукционной комиссией Заказчика неправомерно отказано в допуске к участию в аукционе участникам закупки №№ 1, 4.</w:t>
      </w:r>
    </w:p>
    <w:p>
      <w:pPr>
        <w:pStyle w:val="Style5"/>
        <w:widowControl w:val="0"/>
        <w:keepNext w:val="0"/>
        <w:keepLines w:val="0"/>
        <w:shd w:val="clear" w:color="auto" w:fill="auto"/>
        <w:bidi w:val="0"/>
        <w:jc w:val="both"/>
        <w:spacing w:before="0" w:after="275" w:line="274" w:lineRule="exact"/>
        <w:ind w:left="20" w:right="20" w:firstLine="540"/>
      </w:pPr>
      <w:r>
        <w:rPr>
          <w:lang w:val="ru-RU" w:eastAsia="ru-RU" w:bidi="ru-RU"/>
          <w:w w:val="100"/>
          <w:spacing w:val="0"/>
          <w:color w:val="000000"/>
          <w:position w:val="0"/>
        </w:rPr>
        <w:t>На основании изложенного, Комиссия Ростовского УФАС России, руководствуясь Постановлением Правительства РФ от 26.08.2013г. № 728, ч. 15 ст. 99, ч. 8 ст. 106 Закона,</w:t>
      </w:r>
    </w:p>
    <w:p>
      <w:pPr>
        <w:pStyle w:val="Style20"/>
        <w:widowControl w:val="0"/>
        <w:keepNext/>
        <w:keepLines/>
        <w:shd w:val="clear" w:color="auto" w:fill="auto"/>
        <w:bidi w:val="0"/>
        <w:jc w:val="left"/>
        <w:spacing w:before="0" w:after="208" w:line="230" w:lineRule="exact"/>
        <w:ind w:left="4700" w:right="0" w:firstLine="0"/>
      </w:pPr>
      <w:bookmarkStart w:id="1" w:name="bookmark1"/>
      <w:r>
        <w:rPr>
          <w:lang w:val="ru-RU" w:eastAsia="ru-RU" w:bidi="ru-RU"/>
          <w:w w:val="100"/>
          <w:spacing w:val="0"/>
          <w:color w:val="000000"/>
          <w:position w:val="0"/>
        </w:rPr>
        <w:t>РЕШИЛА:</w:t>
      </w:r>
      <w:bookmarkEnd w:id="1"/>
    </w:p>
    <w:p>
      <w:pPr>
        <w:pStyle w:val="Style5"/>
        <w:numPr>
          <w:ilvl w:val="0"/>
          <w:numId w:val="3"/>
        </w:numPr>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 xml:space="preserve"> Признать жалобу ООО «Медикал лизинг-консалтинг» обоснованной.</w:t>
      </w:r>
    </w:p>
    <w:p>
      <w:pPr>
        <w:pStyle w:val="Style5"/>
        <w:numPr>
          <w:ilvl w:val="0"/>
          <w:numId w:val="3"/>
        </w:numPr>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 xml:space="preserve"> Признать аукционную комиссию Заказчика нарушившей ч. 5 ст. 67 Закона.</w:t>
      </w:r>
    </w:p>
    <w:p>
      <w:pPr>
        <w:pStyle w:val="Style5"/>
        <w:numPr>
          <w:ilvl w:val="0"/>
          <w:numId w:val="3"/>
        </w:numPr>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отмене сформированных протоколов; пересмотре заявок, поступивших на участие в аукционе, в соответствии с требованиями Закона и с учетом настоящего решения; проведении аукциона с последнего (минимального) предложения о цене контракта; совершении дальнейших действий, предусмотренных Законом.</w:t>
      </w:r>
    </w:p>
    <w:p>
      <w:pPr>
        <w:pStyle w:val="Style5"/>
        <w:numPr>
          <w:ilvl w:val="0"/>
          <w:numId w:val="3"/>
        </w:numPr>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 Оператору электронной торговой площадки обеспечить Заказчику, аукционной комиссии Заказчика возможность исполнения выданного предписания</w:t>
      </w:r>
    </w:p>
    <w:p>
      <w:pPr>
        <w:pStyle w:val="Style5"/>
        <w:numPr>
          <w:ilvl w:val="0"/>
          <w:numId w:val="3"/>
        </w:numPr>
        <w:widowControl w:val="0"/>
        <w:keepNext w:val="0"/>
        <w:keepLines w:val="0"/>
        <w:shd w:val="clear" w:color="auto" w:fill="auto"/>
        <w:bidi w:val="0"/>
        <w:jc w:val="both"/>
        <w:spacing w:before="0" w:after="519" w:line="274" w:lineRule="exact"/>
        <w:ind w:left="20" w:right="20" w:firstLine="54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виновных должностных лиц Заказчика.</w:t>
      </w:r>
    </w:p>
    <w:p>
      <w:pPr>
        <w:pStyle w:val="Style22"/>
        <w:widowControl w:val="0"/>
        <w:keepNext w:val="0"/>
        <w:keepLines w:val="0"/>
        <w:shd w:val="clear" w:color="auto" w:fill="auto"/>
        <w:bidi w:val="0"/>
        <w:spacing w:before="0" w:after="0"/>
        <w:ind w:left="20" w:right="20"/>
        <w:sectPr>
          <w:type w:val="continuous"/>
          <w:pgSz w:w="11906" w:h="16838"/>
          <w:pgMar w:top="780" w:left="937" w:right="860" w:bottom="535" w:header="0" w:footer="3" w:gutter="0"/>
          <w:rtlGutter w:val="0"/>
          <w:cols w:space="720"/>
          <w:noEndnote/>
          <w:docGrid w:linePitch="360"/>
        </w:sectPr>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5"/>
        <w:framePr w:w="2682" w:h="224" w:wrap="none" w:vAnchor="text" w:hAnchor="margin" w:x="755" w:y="65"/>
        <w:widowControl w:val="0"/>
        <w:keepNext w:val="0"/>
        <w:keepLines w:val="0"/>
        <w:shd w:val="clear" w:color="auto" w:fill="auto"/>
        <w:bidi w:val="0"/>
        <w:jc w:val="left"/>
        <w:spacing w:before="0" w:after="0" w:line="220" w:lineRule="exact"/>
        <w:ind w:left="100" w:right="0" w:firstLine="0"/>
      </w:pPr>
      <w:r>
        <w:rPr>
          <w:rStyle w:val="CharStyle24"/>
          <w:spacing w:val="0"/>
        </w:rPr>
        <w:t>Председатель Комиссии</w:t>
      </w:r>
    </w:p>
    <w:p>
      <w:pPr>
        <w:pStyle w:val="Style5"/>
        <w:framePr w:w="1957" w:h="221" w:wrap="none" w:vAnchor="text" w:hAnchor="margin" w:x="755" w:y="908"/>
        <w:widowControl w:val="0"/>
        <w:keepNext w:val="0"/>
        <w:keepLines w:val="0"/>
        <w:shd w:val="clear" w:color="auto" w:fill="auto"/>
        <w:bidi w:val="0"/>
        <w:jc w:val="left"/>
        <w:spacing w:before="0" w:after="0" w:line="220" w:lineRule="exact"/>
        <w:ind w:left="100" w:right="0" w:firstLine="0"/>
      </w:pPr>
      <w:r>
        <w:rPr>
          <w:rStyle w:val="CharStyle24"/>
          <w:spacing w:val="0"/>
        </w:rPr>
        <w:t>Члены Комиссии</w:t>
      </w:r>
    </w:p>
    <w:p>
      <w:pPr>
        <w:pStyle w:val="Style5"/>
        <w:framePr w:w="1923" w:h="2107" w:wrap="none" w:vAnchor="text" w:hAnchor="margin" w:x="8325" w:y="3"/>
        <w:widowControl w:val="0"/>
        <w:keepNext w:val="0"/>
        <w:keepLines w:val="0"/>
        <w:shd w:val="clear" w:color="auto" w:fill="auto"/>
        <w:bidi w:val="0"/>
        <w:jc w:val="both"/>
        <w:spacing w:before="0" w:after="0" w:line="840" w:lineRule="exact"/>
        <w:ind w:left="320" w:right="100"/>
      </w:pPr>
      <w:r>
        <w:rPr>
          <w:rStyle w:val="CharStyle24"/>
          <w:spacing w:val="0"/>
        </w:rPr>
        <w:t xml:space="preserve">К. А. Коренченко </w:t>
      </w:r>
      <w:r>
        <w:rPr>
          <w:rStyle w:val="CharStyle25"/>
          <w:lang w:val="en-US" w:eastAsia="en-US" w:bidi="en-US"/>
          <w:spacing w:val="0"/>
        </w:rPr>
        <w:t xml:space="preserve">P.P. </w:t>
      </w:r>
      <w:r>
        <w:rPr>
          <w:rStyle w:val="CharStyle25"/>
          <w:spacing w:val="0"/>
        </w:rPr>
        <w:t xml:space="preserve">Хребтихон </w:t>
      </w:r>
      <w:r>
        <w:rPr>
          <w:rStyle w:val="CharStyle26"/>
          <w:spacing w:val="0"/>
        </w:rPr>
        <w:t>А.И. Пахальян</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9" w:lineRule="exact"/>
      </w:pPr>
    </w:p>
    <w:p>
      <w:pPr>
        <w:widowControl w:val="0"/>
        <w:rPr>
          <w:sz w:val="2"/>
          <w:szCs w:val="2"/>
        </w:rPr>
      </w:pPr>
    </w:p>
    <w:sectPr>
      <w:type w:val="continuous"/>
      <w:pgSz w:w="11906" w:h="16838"/>
      <w:pgMar w:top="469" w:left="860" w:right="860" w:bottom="4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en-US" w:eastAsia="en-US" w:bidi="en-US"/>
      <w:u w:val="single"/>
      <w:w w:val="100"/>
      <w:spacing w:val="0"/>
      <w:color w:val="000000"/>
      <w:position w:val="0"/>
    </w:rPr>
  </w:style>
  <w:style w:type="character" w:customStyle="1" w:styleId="CharStyle13">
    <w:name w:val="Заголовок №1_"/>
    <w:basedOn w:val="DefaultParagraphFont"/>
    <w:link w:val="Style12"/>
    <w:rPr>
      <w:b w:val="0"/>
      <w:bCs w:val="0"/>
      <w:i w:val="0"/>
      <w:iCs w:val="0"/>
      <w:u w:val="none"/>
      <w:strike w:val="0"/>
      <w:smallCaps w:val="0"/>
      <w:sz w:val="34"/>
      <w:szCs w:val="34"/>
      <w:rFonts w:ascii="Times New Roman" w:eastAsia="Times New Roman" w:hAnsi="Times New Roman" w:cs="Times New Roman"/>
    </w:rPr>
  </w:style>
  <w:style w:type="character" w:customStyle="1" w:styleId="CharStyle14">
    <w:name w:val="Заголовок №1"/>
    <w:basedOn w:val="CharStyle13"/>
    <w:rPr>
      <w:lang w:val="ru-RU" w:eastAsia="ru-RU" w:bidi="ru-RU"/>
      <w:u w:val="single"/>
      <w:w w:val="100"/>
      <w:spacing w:val="0"/>
      <w:color w:val="000000"/>
      <w:position w:val="0"/>
    </w:rPr>
  </w:style>
  <w:style w:type="character" w:customStyle="1" w:styleId="CharStyle15">
    <w:name w:val="Основной текст + Интервал 1 pt"/>
    <w:basedOn w:val="CharStyle6"/>
    <w:rPr>
      <w:lang w:val="ru-RU" w:eastAsia="ru-RU" w:bidi="ru-RU"/>
      <w:w w:val="100"/>
      <w:spacing w:val="20"/>
      <w:color w:val="000000"/>
      <w:position w:val="0"/>
    </w:rPr>
  </w:style>
  <w:style w:type="character" w:customStyle="1" w:styleId="CharStyle16">
    <w:name w:val="Основной текст"/>
    <w:basedOn w:val="CharStyle6"/>
    <w:rPr>
      <w:lang w:val="ru-RU" w:eastAsia="ru-RU" w:bidi="ru-RU"/>
      <w:w w:val="100"/>
      <w:spacing w:val="0"/>
      <w:color w:val="000000"/>
      <w:position w:val="0"/>
    </w:rPr>
  </w:style>
  <w:style w:type="character" w:customStyle="1" w:styleId="CharStyle17">
    <w:name w:val="Основной текст + Полужирный"/>
    <w:basedOn w:val="CharStyle6"/>
    <w:rPr>
      <w:lang w:val="ru-RU" w:eastAsia="ru-RU" w:bidi="ru-RU"/>
      <w:b/>
      <w:bCs/>
      <w:w w:val="100"/>
      <w:spacing w:val="0"/>
      <w:color w:val="000000"/>
      <w:position w:val="0"/>
    </w:rPr>
  </w:style>
  <w:style w:type="character" w:customStyle="1" w:styleId="CharStyle19">
    <w:name w:val="Подпись к таблице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Заголовок №2_"/>
    <w:basedOn w:val="DefaultParagraphFont"/>
    <w:link w:val="Style20"/>
    <w:rPr>
      <w:b/>
      <w:bCs/>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5)_"/>
    <w:basedOn w:val="DefaultParagraphFont"/>
    <w:link w:val="Style22"/>
    <w:rPr>
      <w:b/>
      <w:bCs/>
      <w:i w:val="0"/>
      <w:iCs w:val="0"/>
      <w:u w:val="none"/>
      <w:strike w:val="0"/>
      <w:smallCaps w:val="0"/>
      <w:sz w:val="18"/>
      <w:szCs w:val="18"/>
      <w:rFonts w:ascii="Times New Roman" w:eastAsia="Times New Roman" w:hAnsi="Times New Roman" w:cs="Times New Roman"/>
    </w:rPr>
  </w:style>
  <w:style w:type="character" w:customStyle="1" w:styleId="CharStyle2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25">
    <w:name w:val="Основной текст Exact"/>
    <w:basedOn w:val="CharStyle6"/>
    <w:rPr>
      <w:lang w:val="ru-RU" w:eastAsia="ru-RU" w:bidi="ru-RU"/>
      <w:sz w:val="22"/>
      <w:szCs w:val="22"/>
      <w:w w:val="100"/>
      <w:spacing w:val="-1"/>
      <w:color w:val="000000"/>
      <w:position w:val="0"/>
    </w:rPr>
  </w:style>
  <w:style w:type="character" w:customStyle="1" w:styleId="CharStyle26">
    <w:name w:val="Основной текст + 9,5 pt,Полужирный,Интервал 0 pt Exact"/>
    <w:basedOn w:val="CharStyle6"/>
    <w:rPr>
      <w:lang w:val="ru-RU" w:eastAsia="ru-RU" w:bidi="ru-RU"/>
      <w:b/>
      <w:bCs/>
      <w:sz w:val="19"/>
      <w:szCs w:val="19"/>
      <w:w w:val="100"/>
      <w:spacing w:val="10"/>
      <w:color w:val="000000"/>
      <w:position w:val="0"/>
    </w:rPr>
  </w:style>
  <w:style w:type="paragraph" w:customStyle="1" w:styleId="Style3">
    <w:name w:val="Основной текст (2)"/>
    <w:basedOn w:val="Normal"/>
    <w:link w:val="CharStyle4"/>
    <w:pPr>
      <w:widowControl w:val="0"/>
      <w:shd w:val="clear" w:color="auto" w:fill="FFFFFF"/>
      <w:jc w:val="right"/>
      <w:spacing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line="0" w:lineRule="exact"/>
      <w:ind w:hanging="220"/>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240" w:after="60" w:line="302"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after="180" w:line="202" w:lineRule="exact"/>
    </w:pPr>
    <w:rPr>
      <w:b/>
      <w:bCs/>
      <w:i w:val="0"/>
      <w:iCs w:val="0"/>
      <w:u w:val="none"/>
      <w:strike w:val="0"/>
      <w:smallCaps w:val="0"/>
      <w:sz w:val="16"/>
      <w:szCs w:val="1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1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18">
    <w:name w:val="Подпись к таблице"/>
    <w:basedOn w:val="Normal"/>
    <w:link w:val="CharStyle19"/>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before="480" w:line="226" w:lineRule="exact"/>
      <w:ind w:firstLine="540"/>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