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16"/>
        <w:widowControl w:val="0"/>
        <w:keepNext/>
        <w:keepLines/>
        <w:shd w:val="clear" w:color="auto" w:fill="auto"/>
        <w:bidi w:val="0"/>
        <w:jc w:val="left"/>
        <w:spacing w:before="0" w:after="102"/>
        <w:ind w:left="20" w:right="1720"/>
      </w:pPr>
      <w:bookmarkStart w:id="0" w:name="bookmark0"/>
      <w:r>
        <w:rPr>
          <w:w w:val="100"/>
          <w:color w:val="000000"/>
          <w:position w:val="0"/>
        </w:rPr>
        <w:t xml:space="preserve">WfS </w:t>
      </w:r>
      <w:r>
        <w:rPr>
          <w:rStyle w:val="CharStyle18"/>
          <w:i w:val="0"/>
          <w:iCs w:val="0"/>
        </w:rPr>
        <w:t>•</w:t>
      </w:r>
      <w:bookmarkEnd w:id="0"/>
    </w:p>
    <w:p>
      <w:pPr>
        <w:pStyle w:val="Style3"/>
        <w:framePr w:w="4250" w:h="3117" w:wrap="around" w:vAnchor="text" w:hAnchor="margin" w:x="-244" w:y="42"/>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ФЕДЕРАЛЬНАЯ А ИТ </w:t>
      </w:r>
      <w:r>
        <w:rPr>
          <w:lang w:val="en-US" w:eastAsia="en-US" w:bidi="en-US"/>
          <w:w w:val="100"/>
          <w:spacing w:val="0"/>
          <w:color w:val="000000"/>
          <w:position w:val="0"/>
        </w:rPr>
        <w:t xml:space="preserve">HMOHOI </w:t>
      </w:r>
      <w:r>
        <w:rPr>
          <w:lang w:val="ru-RU" w:eastAsia="ru-RU" w:bidi="ru-RU"/>
          <w:w w:val="100"/>
          <w:spacing w:val="0"/>
          <w:color w:val="000000"/>
          <w:position w:val="0"/>
        </w:rPr>
        <w:t>ЮЛ Ь Н А Я СЛ У ЖБА</w:t>
      </w:r>
    </w:p>
    <w:p>
      <w:pPr>
        <w:pStyle w:val="Style3"/>
        <w:framePr w:w="4250" w:h="3117" w:wrap="around" w:vAnchor="text" w:hAnchor="margin" w:x="-244" w:y="42"/>
        <w:widowControl w:val="0"/>
        <w:keepNext w:val="0"/>
        <w:keepLines w:val="0"/>
        <w:shd w:val="clear" w:color="auto" w:fill="auto"/>
        <w:bidi w:val="0"/>
        <w:spacing w:before="0" w:after="0" w:line="245" w:lineRule="exact"/>
        <w:ind w:left="40" w:right="0" w:firstLine="0"/>
      </w:pPr>
      <w:r>
        <w:rPr>
          <w:lang w:val="ru-RU" w:eastAsia="ru-RU" w:bidi="ru-RU"/>
          <w:w w:val="100"/>
          <w:spacing w:val="0"/>
          <w:color w:val="000000"/>
          <w:position w:val="0"/>
        </w:rPr>
        <w:t xml:space="preserve">УПРАВЛЕНИЕ Федеральной антимонопольной службы по Липецком области (Липецкое </w:t>
      </w:r>
      <w:r>
        <w:rPr>
          <w:rStyle w:val="CharStyle5"/>
          <w:spacing w:val="0"/>
        </w:rPr>
        <w:t>УФАС</w:t>
      </w:r>
      <w:r>
        <w:rPr>
          <w:lang w:val="ru-RU" w:eastAsia="ru-RU" w:bidi="ru-RU"/>
          <w:w w:val="100"/>
          <w:spacing w:val="0"/>
          <w:color w:val="000000"/>
          <w:position w:val="0"/>
        </w:rPr>
        <w:t xml:space="preserve"> России)</w:t>
      </w:r>
    </w:p>
    <w:p>
      <w:pPr>
        <w:pStyle w:val="Style6"/>
        <w:framePr w:w="4250" w:h="3117" w:wrap="around" w:vAnchor="text" w:hAnchor="margin" w:x="-244" w:y="42"/>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ил Плеханова, 1, г. Липецк, 398050 тел ./факс (4742) 27-14-82 </w:t>
      </w:r>
      <w:r>
        <w:rPr>
          <w:lang w:val="en-US" w:eastAsia="en-US" w:bidi="en-US"/>
          <w:w w:val="100"/>
          <w:spacing w:val="0"/>
          <w:color w:val="000000"/>
          <w:position w:val="0"/>
        </w:rPr>
        <w:t xml:space="preserve">e-mail: </w:t>
      </w:r>
      <w:r>
        <w:fldChar w:fldCharType="begin"/>
      </w:r>
      <w:r>
        <w:rPr>
          <w:color w:val="000000"/>
        </w:rPr>
        <w:instrText> HYPERLINK "mailto:lo48@fas.gov.ni" </w:instrText>
      </w:r>
      <w:r>
        <w:fldChar w:fldCharType="separate"/>
      </w:r>
      <w:r>
        <w:rPr>
          <w:rStyle w:val="Hyperlink"/>
          <w:lang w:val="en-US" w:eastAsia="en-US" w:bidi="en-US"/>
          <w:w w:val="100"/>
          <w:spacing w:val="0"/>
          <w:position w:val="0"/>
        </w:rPr>
        <w:t>lo48@fas.gov.ni</w:t>
      </w:r>
      <w:r>
        <w:fldChar w:fldCharType="end"/>
      </w:r>
      <w:r>
        <w:rPr>
          <w:lang w:val="en-US" w:eastAsia="en-US" w:bidi="en-US"/>
          <w:w w:val="100"/>
          <w:spacing w:val="0"/>
          <w:color w:val="000000"/>
          <w:position w:val="0"/>
        </w:rPr>
        <w:t xml:space="preserve"> </w:t>
      </w:r>
      <w:r>
        <w:fldChar w:fldCharType="begin"/>
      </w:r>
      <w:r>
        <w:rPr>
          <w:color w:val="000000"/>
        </w:rPr>
        <w:instrText> HYPERLINK "http://www.lipetsk.fas.gov.ni" </w:instrText>
      </w:r>
      <w:r>
        <w:fldChar w:fldCharType="separate"/>
      </w:r>
      <w:r>
        <w:rPr>
          <w:rStyle w:val="Hyperlink"/>
          <w:lang w:val="en-US" w:eastAsia="en-US" w:bidi="en-US"/>
          <w:w w:val="100"/>
          <w:spacing w:val="0"/>
          <w:position w:val="0"/>
        </w:rPr>
        <w:t>http://www.lipetsk.fas.gov.ni</w:t>
      </w:r>
      <w:r>
        <w:fldChar w:fldCharType="end"/>
      </w:r>
    </w:p>
    <w:p>
      <w:pPr>
        <w:pStyle w:val="Style8"/>
        <w:framePr w:w="4250" w:h="3117" w:wrap="around" w:vAnchor="text" w:hAnchor="margin" w:x="-244" w:y="42"/>
        <w:tabs>
          <w:tab w:leader="underscore" w:pos="1576" w:val="left"/>
          <w:tab w:leader="underscore" w:pos="2963" w:val="left"/>
        </w:tabs>
        <w:widowControl w:val="0"/>
        <w:keepNext w:val="0"/>
        <w:keepLines w:val="0"/>
        <w:shd w:val="clear" w:color="auto" w:fill="auto"/>
        <w:bidi w:val="0"/>
        <w:jc w:val="left"/>
        <w:spacing w:before="0" w:after="0"/>
        <w:ind w:left="40" w:right="1360"/>
      </w:pPr>
      <w:r>
        <w:rPr>
          <w:rStyle w:val="CharStyle10"/>
          <w:lang w:val="en-US" w:eastAsia="en-US" w:bidi="en-US"/>
          <w:i/>
          <w:iCs/>
          <w:spacing w:val="-10"/>
        </w:rPr>
        <w:t>SVZ</w:t>
      </w:r>
      <w:r>
        <w:rPr>
          <w:rStyle w:val="CharStyle10"/>
          <w:i/>
          <w:iCs/>
          <w:spacing w:val="-10"/>
        </w:rPr>
        <w:t>/МУ,^</w:t>
      </w:r>
      <w:r>
        <w:rPr>
          <w:rStyle w:val="CharStyle11"/>
          <w:i w:val="0"/>
          <w:iCs w:val="0"/>
        </w:rPr>
        <w:t xml:space="preserve"> до </w:t>
      </w:r>
      <w:r>
        <w:rPr>
          <w:rStyle w:val="CharStyle12"/>
          <w:i w:val="0"/>
          <w:iCs w:val="0"/>
          <w:spacing w:val="0"/>
        </w:rPr>
        <w:t>На №</w:t>
        <w:tab/>
        <w:t xml:space="preserve"> </w:t>
      </w:r>
      <w:r>
        <w:rPr>
          <w:rStyle w:val="CharStyle13"/>
          <w:i w:val="0"/>
          <w:iCs w:val="0"/>
          <w:spacing w:val="10"/>
        </w:rPr>
        <w:t xml:space="preserve">от </w:t>
        <w:tab/>
      </w:r>
    </w:p>
    <w:p>
      <w:pPr>
        <w:pStyle w:val="Style19"/>
        <w:widowControl w:val="0"/>
        <w:keepNext w:val="0"/>
        <w:keepLines w:val="0"/>
        <w:shd w:val="clear" w:color="auto" w:fill="auto"/>
        <w:bidi w:val="0"/>
        <w:jc w:val="left"/>
        <w:spacing w:before="0" w:after="677" w:line="240" w:lineRule="exact"/>
        <w:ind w:left="1420" w:right="0" w:firstLine="0"/>
      </w:pPr>
      <w:r>
        <w:rPr>
          <w:lang w:val="ru-RU" w:eastAsia="ru-RU" w:bidi="ru-RU"/>
          <w:sz w:val="24"/>
          <w:szCs w:val="24"/>
          <w:w w:val="100"/>
          <w:color w:val="000000"/>
          <w:position w:val="0"/>
        </w:rPr>
        <w:t>ООО «Артель»</w:t>
      </w:r>
    </w:p>
    <w:p>
      <w:pPr>
        <w:pStyle w:val="Style19"/>
        <w:widowControl w:val="0"/>
        <w:keepNext w:val="0"/>
        <w:keepLines w:val="0"/>
        <w:shd w:val="clear" w:color="auto" w:fill="auto"/>
        <w:bidi w:val="0"/>
        <w:jc w:val="left"/>
        <w:spacing w:before="0" w:after="617" w:line="240" w:lineRule="exact"/>
        <w:ind w:left="1420" w:right="0" w:firstLine="0"/>
      </w:pPr>
      <w:r>
        <w:fldChar w:fldCharType="begin"/>
      </w:r>
      <w:r>
        <w:rPr>
          <w:color w:val="000000"/>
        </w:rPr>
        <w:instrText> HYPERLINK "mailto:zakupki22344@yandex.ru" </w:instrText>
      </w:r>
      <w:r>
        <w:fldChar w:fldCharType="separate"/>
      </w:r>
      <w:r>
        <w:rPr>
          <w:rStyle w:val="Hyperlink"/>
          <w:lang w:val="en-US" w:eastAsia="en-US" w:bidi="en-US"/>
          <w:sz w:val="24"/>
          <w:szCs w:val="24"/>
          <w:w w:val="100"/>
          <w:position w:val="0"/>
        </w:rPr>
        <w:t>zakupki22344@yandex.ru</w:t>
      </w:r>
      <w:r>
        <w:fldChar w:fldCharType="end"/>
      </w:r>
    </w:p>
    <w:p>
      <w:pPr>
        <w:pStyle w:val="Style19"/>
        <w:widowControl w:val="0"/>
        <w:keepNext w:val="0"/>
        <w:keepLines w:val="0"/>
        <w:shd w:val="clear" w:color="auto" w:fill="auto"/>
        <w:bidi w:val="0"/>
        <w:jc w:val="left"/>
        <w:spacing w:before="0" w:after="109" w:line="322" w:lineRule="exact"/>
        <w:ind w:left="1420" w:right="540" w:firstLine="0"/>
      </w:pPr>
      <w:r>
        <w:rPr>
          <w:lang w:val="ru-RU" w:eastAsia="ru-RU" w:bidi="ru-RU"/>
          <w:sz w:val="24"/>
          <w:szCs w:val="24"/>
          <w:w w:val="100"/>
          <w:color w:val="000000"/>
          <w:position w:val="0"/>
        </w:rPr>
        <w:t>Государственное бюджетное общеобразовательное учреждение Липецкой области "Специальная школа-интернат г.Грязи"</w:t>
      </w:r>
    </w:p>
    <w:p>
      <w:pPr>
        <w:pStyle w:val="Style19"/>
        <w:widowControl w:val="0"/>
        <w:keepNext w:val="0"/>
        <w:keepLines w:val="0"/>
        <w:shd w:val="clear" w:color="auto" w:fill="auto"/>
        <w:bidi w:val="0"/>
        <w:jc w:val="left"/>
        <w:spacing w:before="0" w:after="0" w:line="936" w:lineRule="exact"/>
        <w:ind w:left="5340" w:right="1540" w:firstLine="0"/>
      </w:pPr>
      <w:r>
        <w:fldChar w:fldCharType="begin"/>
      </w:r>
      <w:r>
        <w:rPr>
          <w:color w:val="000000"/>
        </w:rPr>
        <w:instrText> HYPERLINK "mailto:detdomm@griazy.lipetsk.ru" </w:instrText>
      </w:r>
      <w:r>
        <w:fldChar w:fldCharType="separate"/>
      </w:r>
      <w:r>
        <w:rPr>
          <w:rStyle w:val="Hyperlink"/>
          <w:lang w:val="en-US" w:eastAsia="en-US" w:bidi="en-US"/>
          <w:sz w:val="24"/>
          <w:szCs w:val="24"/>
          <w:w w:val="100"/>
          <w:position w:val="0"/>
        </w:rPr>
        <w:t>detdomm@griazy.lipetsk.ru</w:t>
      </w:r>
      <w:r>
        <w:fldChar w:fldCharType="end"/>
      </w:r>
      <w:r>
        <w:rPr>
          <w:lang w:val="en-US" w:eastAsia="en-US" w:bidi="en-US"/>
          <w:sz w:val="24"/>
          <w:szCs w:val="24"/>
          <w:w w:val="100"/>
          <w:color w:val="000000"/>
          <w:position w:val="0"/>
        </w:rPr>
        <w:t xml:space="preserve"> </w:t>
      </w:r>
      <w:r>
        <w:rPr>
          <w:lang w:val="ru-RU" w:eastAsia="ru-RU" w:bidi="ru-RU"/>
          <w:sz w:val="24"/>
          <w:szCs w:val="24"/>
          <w:w w:val="100"/>
          <w:color w:val="000000"/>
          <w:position w:val="0"/>
        </w:rPr>
        <w:t>АО «ЭТС»</w:t>
      </w:r>
    </w:p>
    <w:p>
      <w:pPr>
        <w:pStyle w:val="Style19"/>
        <w:widowControl w:val="0"/>
        <w:keepNext w:val="0"/>
        <w:keepLines w:val="0"/>
        <w:shd w:val="clear" w:color="auto" w:fill="auto"/>
        <w:bidi w:val="0"/>
        <w:jc w:val="left"/>
        <w:spacing w:before="0" w:after="0" w:line="643" w:lineRule="exact"/>
        <w:ind w:left="5340" w:right="0" w:firstLine="0"/>
      </w:pPr>
      <w:r>
        <w:fldChar w:fldCharType="begin"/>
      </w:r>
      <w:r>
        <w:rPr>
          <w:color w:val="000000"/>
        </w:rPr>
        <w:instrText> HYPERLINK "mailto:auditors@etpz.ru" </w:instrText>
      </w:r>
      <w:r>
        <w:fldChar w:fldCharType="separate"/>
      </w:r>
      <w:r>
        <w:rPr>
          <w:rStyle w:val="Hyperlink"/>
          <w:lang w:val="en-US" w:eastAsia="en-US" w:bidi="en-US"/>
          <w:sz w:val="24"/>
          <w:szCs w:val="24"/>
          <w:w w:val="100"/>
          <w:position w:val="0"/>
        </w:rPr>
        <w:t>auditors@etpz.ru</w:t>
      </w:r>
      <w:r>
        <w:fldChar w:fldCharType="end"/>
      </w:r>
    </w:p>
    <w:p>
      <w:pPr>
        <w:pStyle w:val="Style19"/>
        <w:widowControl w:val="0"/>
        <w:keepNext w:val="0"/>
        <w:keepLines w:val="0"/>
        <w:shd w:val="clear" w:color="auto" w:fill="auto"/>
        <w:bidi w:val="0"/>
        <w:jc w:val="center"/>
        <w:spacing w:before="0" w:after="0" w:line="643" w:lineRule="exact"/>
        <w:ind w:left="360" w:right="0" w:firstLine="0"/>
      </w:pPr>
      <w:r>
        <w:rPr>
          <w:lang w:val="ru-RU" w:eastAsia="ru-RU" w:bidi="ru-RU"/>
          <w:sz w:val="24"/>
          <w:szCs w:val="24"/>
          <w:w w:val="100"/>
          <w:color w:val="000000"/>
          <w:position w:val="0"/>
        </w:rPr>
        <w:t>РЕШЕНИЕ №371с/17</w:t>
      </w:r>
    </w:p>
    <w:p>
      <w:pPr>
        <w:pStyle w:val="Style19"/>
        <w:tabs>
          <w:tab w:leader="none" w:pos="8530" w:val="right"/>
          <w:tab w:leader="none" w:pos="9514" w:val="right"/>
        </w:tabs>
        <w:widowControl w:val="0"/>
        <w:keepNext w:val="0"/>
        <w:keepLines w:val="0"/>
        <w:shd w:val="clear" w:color="auto" w:fill="auto"/>
        <w:bidi w:val="0"/>
        <w:jc w:val="both"/>
        <w:spacing w:before="0" w:after="0" w:line="643" w:lineRule="exact"/>
        <w:ind w:left="20" w:right="0" w:firstLine="0"/>
      </w:pPr>
      <w:r>
        <w:rPr>
          <w:lang w:val="ru-RU" w:eastAsia="ru-RU" w:bidi="ru-RU"/>
          <w:sz w:val="24"/>
          <w:szCs w:val="24"/>
          <w:w w:val="100"/>
          <w:color w:val="000000"/>
          <w:position w:val="0"/>
        </w:rPr>
        <w:t>«07» ноября 2017 года</w:t>
        <w:tab/>
        <w:t>г.</w:t>
        <w:tab/>
        <w:t>Липецк</w:t>
      </w:r>
    </w:p>
    <w:p>
      <w:pPr>
        <w:pStyle w:val="Style19"/>
        <w:widowControl w:val="0"/>
        <w:keepNext w:val="0"/>
        <w:keepLines w:val="0"/>
        <w:shd w:val="clear" w:color="auto" w:fill="auto"/>
        <w:bidi w:val="0"/>
        <w:jc w:val="both"/>
        <w:spacing w:before="0" w:after="0" w:line="643" w:lineRule="exact"/>
        <w:ind w:left="20" w:right="0" w:firstLine="700"/>
      </w:pPr>
      <w:r>
        <w:rPr>
          <w:lang w:val="ru-RU" w:eastAsia="ru-RU" w:bidi="ru-RU"/>
          <w:sz w:val="24"/>
          <w:szCs w:val="24"/>
          <w:w w:val="100"/>
          <w:color w:val="000000"/>
          <w:position w:val="0"/>
        </w:rPr>
        <w:t>Резолютивная часть решения оглашена 07.11.2017.</w:t>
      </w:r>
    </w:p>
    <w:p>
      <w:pPr>
        <w:pStyle w:val="Style19"/>
        <w:widowControl w:val="0"/>
        <w:keepNext w:val="0"/>
        <w:keepLines w:val="0"/>
        <w:shd w:val="clear" w:color="auto" w:fill="auto"/>
        <w:bidi w:val="0"/>
        <w:jc w:val="both"/>
        <w:spacing w:before="0" w:after="252" w:line="240" w:lineRule="exact"/>
        <w:ind w:left="20" w:right="0" w:firstLine="700"/>
      </w:pPr>
      <w:r>
        <w:rPr>
          <w:lang w:val="ru-RU" w:eastAsia="ru-RU" w:bidi="ru-RU"/>
          <w:sz w:val="24"/>
          <w:szCs w:val="24"/>
          <w:w w:val="100"/>
          <w:color w:val="000000"/>
          <w:position w:val="0"/>
        </w:rPr>
        <w:t>Решение в полном объеме изготовлено 09.11.2017.</w:t>
      </w:r>
    </w:p>
    <w:p>
      <w:pPr>
        <w:pStyle w:val="Style19"/>
        <w:widowControl w:val="0"/>
        <w:keepNext w:val="0"/>
        <w:keepLines w:val="0"/>
        <w:shd w:val="clear" w:color="auto" w:fill="auto"/>
        <w:bidi w:val="0"/>
        <w:jc w:val="both"/>
        <w:spacing w:before="0" w:after="0" w:line="322" w:lineRule="exact"/>
        <w:ind w:left="20" w:right="360" w:firstLine="700"/>
      </w:pPr>
      <w:r>
        <w:rPr>
          <w:lang w:val="ru-RU" w:eastAsia="ru-RU" w:bidi="ru-RU"/>
          <w:sz w:val="24"/>
          <w:szCs w:val="24"/>
          <w:w w:val="100"/>
          <w:color w:val="000000"/>
          <w:position w:val="0"/>
        </w:rPr>
        <w:t>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в составе:</w:t>
      </w:r>
    </w:p>
    <w:p>
      <w:pPr>
        <w:pStyle w:val="Style19"/>
        <w:widowControl w:val="0"/>
        <w:keepNext w:val="0"/>
        <w:keepLines w:val="0"/>
        <w:shd w:val="clear" w:color="auto" w:fill="auto"/>
        <w:bidi w:val="0"/>
        <w:jc w:val="left"/>
        <w:spacing w:before="0" w:after="0" w:line="322" w:lineRule="exact"/>
        <w:ind w:left="20" w:right="360" w:firstLine="700"/>
      </w:pPr>
      <w:r>
        <w:rPr>
          <w:lang w:val="ru-RU" w:eastAsia="ru-RU" w:bidi="ru-RU"/>
          <w:sz w:val="24"/>
          <w:szCs w:val="24"/>
          <w:w w:val="100"/>
          <w:color w:val="000000"/>
          <w:position w:val="0"/>
        </w:rPr>
        <w:t>председатель Комиссии — И.В. Поткина — руководитель Управления; заместитель председателя Комиссии - Т.Н. Ролдугина - начальник отдела контроля закупок и торгов;</w:t>
      </w:r>
    </w:p>
    <w:p>
      <w:pPr>
        <w:pStyle w:val="Style19"/>
        <w:widowControl w:val="0"/>
        <w:keepNext w:val="0"/>
        <w:keepLines w:val="0"/>
        <w:shd w:val="clear" w:color="auto" w:fill="auto"/>
        <w:bidi w:val="0"/>
        <w:jc w:val="both"/>
        <w:spacing w:before="0" w:after="0" w:line="322" w:lineRule="exact"/>
        <w:ind w:left="20" w:right="360" w:firstLine="700"/>
      </w:pPr>
      <w:r>
        <w:rPr>
          <w:lang w:val="ru-RU" w:eastAsia="ru-RU" w:bidi="ru-RU"/>
          <w:sz w:val="24"/>
          <w:szCs w:val="24"/>
          <w:w w:val="100"/>
          <w:color w:val="000000"/>
          <w:position w:val="0"/>
        </w:rPr>
        <w:t>член Комиссии: Т.С. Рябкова - заместитель начальника отдела контроля закупок и торгов,</w:t>
      </w:r>
    </w:p>
    <w:p>
      <w:pPr>
        <w:pStyle w:val="Style19"/>
        <w:widowControl w:val="0"/>
        <w:keepNext w:val="0"/>
        <w:keepLines w:val="0"/>
        <w:shd w:val="clear" w:color="auto" w:fill="auto"/>
        <w:bidi w:val="0"/>
        <w:jc w:val="both"/>
        <w:spacing w:before="0" w:after="0" w:line="322" w:lineRule="exact"/>
        <w:ind w:left="20" w:right="280" w:firstLine="700"/>
      </w:pPr>
      <w:r>
        <w:rPr>
          <w:lang w:val="ru-RU" w:eastAsia="ru-RU" w:bidi="ru-RU"/>
          <w:sz w:val="24"/>
          <w:szCs w:val="24"/>
          <w:w w:val="100"/>
          <w:color w:val="000000"/>
          <w:position w:val="0"/>
        </w:rPr>
        <w:t>в присутствии представителей государственного бюджетного общеобразовательного учреждения Липецкой области "Специальная школа- интернат г.Ерязи" - Брежневой Е.С. (доверенность от 07.11.2017), Федерякиной С.Н. (доверенность от 07.11.2017),</w:t>
      </w:r>
    </w:p>
    <w:p>
      <w:pPr>
        <w:pStyle w:val="Style19"/>
        <w:widowControl w:val="0"/>
        <w:keepNext w:val="0"/>
        <w:keepLines w:val="0"/>
        <w:shd w:val="clear" w:color="auto" w:fill="auto"/>
        <w:bidi w:val="0"/>
        <w:jc w:val="both"/>
        <w:spacing w:before="0" w:after="0" w:line="322" w:lineRule="exact"/>
        <w:ind w:left="20" w:right="360" w:firstLine="700"/>
      </w:pPr>
      <w:r>
        <w:rPr>
          <w:lang w:val="ru-RU" w:eastAsia="ru-RU" w:bidi="ru-RU"/>
          <w:sz w:val="24"/>
          <w:szCs w:val="24"/>
          <w:w w:val="100"/>
          <w:color w:val="000000"/>
          <w:position w:val="0"/>
        </w:rPr>
        <w:t>рассмотрев жалобу ООО «Артель» на положения документации об электронном аукционе на выполнение работ по ремонту спального корпуса №</w:t>
      </w:r>
    </w:p>
    <w:p>
      <w:pPr>
        <w:pStyle w:val="Style19"/>
        <w:widowControl w:val="0"/>
        <w:keepNext w:val="0"/>
        <w:keepLines w:val="0"/>
        <w:shd w:val="clear" w:color="auto" w:fill="auto"/>
        <w:bidi w:val="0"/>
        <w:jc w:val="both"/>
        <w:spacing w:before="0" w:after="305" w:line="322" w:lineRule="exact"/>
        <w:ind w:left="20" w:right="0" w:firstLine="0"/>
      </w:pPr>
      <w:r>
        <w:rPr>
          <w:lang w:val="ru-RU" w:eastAsia="ru-RU" w:bidi="ru-RU"/>
          <w:sz w:val="24"/>
          <w:szCs w:val="24"/>
          <w:w w:val="100"/>
          <w:color w:val="000000"/>
          <w:position w:val="0"/>
        </w:rPr>
        <w:t>1 (реестровый номер 0346200006617000025) (далее- электронный аукцион),</w:t>
      </w:r>
    </w:p>
    <w:p>
      <w:pPr>
        <w:pStyle w:val="Style14"/>
        <w:framePr w:h="361" w:wrap="around" w:vAnchor="text" w:hAnchor="margin" w:x="8553" w:y="59"/>
        <w:widowControl w:val="0"/>
        <w:keepNext w:val="0"/>
        <w:keepLines w:val="0"/>
        <w:shd w:val="clear" w:color="auto" w:fill="auto"/>
        <w:bidi w:val="0"/>
        <w:jc w:val="left"/>
        <w:spacing w:before="0" w:after="0" w:line="340" w:lineRule="exact"/>
        <w:ind w:left="100" w:right="0" w:firstLine="0"/>
      </w:pPr>
      <w:r>
        <w:rPr>
          <w:lang w:val="ru-RU" w:eastAsia="ru-RU" w:bidi="ru-RU"/>
          <w:w w:val="100"/>
          <w:color w:val="000000"/>
          <w:position w:val="0"/>
        </w:rPr>
        <w:t>047343</w:t>
      </w:r>
    </w:p>
    <w:p>
      <w:pPr>
        <w:pStyle w:val="Style19"/>
        <w:widowControl w:val="0"/>
        <w:keepNext w:val="0"/>
        <w:keepLines w:val="0"/>
        <w:shd w:val="clear" w:color="auto" w:fill="auto"/>
        <w:bidi w:val="0"/>
        <w:jc w:val="both"/>
        <w:spacing w:before="0" w:after="0" w:line="240" w:lineRule="exact"/>
        <w:ind w:left="20" w:right="0" w:firstLine="0"/>
      </w:pPr>
      <w:r>
        <w:rPr>
          <w:rStyle w:val="CharStyle21"/>
        </w:rPr>
        <w:t>УСТАНОВИЛА:</w:t>
      </w:r>
      <w:r>
        <w:br w:type="page"/>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 адрес Липецкого УФАС России 30.10.2017 поступила жалоба ООО «Артель» на положения документации об электронном аукционе (заказчик - государственное бюджетное общеобразовательное учреждение Липецкой области "Специальная школа-интернат г.Грязи").</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Жалоба подготовлена в соответствии с требованиями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подана в срок, установленный ст. 105 Закона о контрактной системе. В связи с этим жалоба была принята Липецким УФАС России к рассмотрению.</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Жалоба и сведения о времени и месте ее рассмотрения размещены Липецким УФАС России на официальном сайте единой информационной системы в сфере закупок </w:t>
      </w:r>
      <w:r>
        <w:fldChar w:fldCharType="begin"/>
      </w:r>
      <w:r>
        <w:rPr>
          <w:color w:val="000000"/>
        </w:rPr>
        <w:instrText> HYPERLINK "http://zakupki.gov.ru" </w:instrText>
      </w:r>
      <w:r>
        <w:fldChar w:fldCharType="separate"/>
      </w:r>
      <w:r>
        <w:rPr>
          <w:rStyle w:val="Hyperlink"/>
          <w:lang w:val="en-US" w:eastAsia="en-US" w:bidi="en-US"/>
          <w:sz w:val="24"/>
          <w:szCs w:val="24"/>
          <w:w w:val="100"/>
          <w:position w:val="0"/>
        </w:rPr>
        <w:t>http://zakupki.gov.ru</w:t>
      </w:r>
      <w:r>
        <w:fldChar w:fldCharType="end"/>
      </w:r>
      <w:r>
        <w:rPr>
          <w:lang w:val="en-US" w:eastAsia="en-US" w:bidi="en-US"/>
          <w:sz w:val="24"/>
          <w:szCs w:val="24"/>
          <w:w w:val="100"/>
          <w:color w:val="000000"/>
          <w:position w:val="0"/>
        </w:rPr>
        <w:t xml:space="preserve"> </w:t>
      </w:r>
      <w:r>
        <w:rPr>
          <w:lang w:val="ru-RU" w:eastAsia="ru-RU" w:bidi="ru-RU"/>
          <w:sz w:val="24"/>
          <w:szCs w:val="24"/>
          <w:w w:val="100"/>
          <w:color w:val="000000"/>
          <w:position w:val="0"/>
        </w:rPr>
        <w:t>в разделе «жалобы».</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ООО «Артель», извещенное о времени и месте рассмотрения жалобы надлежащим образом, не направило своих представителей для участия в рассмотрении жалобы.</w:t>
      </w:r>
    </w:p>
    <w:p>
      <w:pPr>
        <w:pStyle w:val="Style19"/>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color w:val="000000"/>
          <w:position w:val="0"/>
        </w:rPr>
        <w:t>На заседании комиссии велась аудиозапись.</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 жалобе ООО «Артель» указано, что в документация об электронном аукционе составлена со следующими нарушениями Закона о контрактной системе:</w:t>
      </w:r>
    </w:p>
    <w:p>
      <w:pPr>
        <w:pStyle w:val="Style19"/>
        <w:numPr>
          <w:ilvl w:val="0"/>
          <w:numId w:val="1"/>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срок предоставления гарантии качества на результат выполненных работ в разных частях документации установлен по разному, в связи с чем непонятно, какой срок необходимо указать в заявке;</w:t>
      </w:r>
    </w:p>
    <w:p>
      <w:pPr>
        <w:pStyle w:val="Style19"/>
        <w:numPr>
          <w:ilvl w:val="0"/>
          <w:numId w:val="1"/>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требование о предоставлении гарантии качества производителя и поставщика на используемые при выполнении работ материалы является неправомерным;</w:t>
      </w:r>
    </w:p>
    <w:p>
      <w:pPr>
        <w:pStyle w:val="Style19"/>
        <w:numPr>
          <w:ilvl w:val="0"/>
          <w:numId w:val="1"/>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заказчиком предъявлены требования к толщине гранита - от 8 до 10 мм, однако в смете предусмотрен гранит толщиной 10 мм,</w:t>
      </w:r>
    </w:p>
    <w:p>
      <w:pPr>
        <w:pStyle w:val="Style19"/>
        <w:numPr>
          <w:ilvl w:val="0"/>
          <w:numId w:val="1"/>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заказчиком установлены требования к типу дверного блока - ДН, ДВ. Но при этом отсутствует подробная инструкция по заполнению заявки, что не позволяет определить, нужно указывать характеристики одного типа дверей или сразу двух;</w:t>
      </w:r>
    </w:p>
    <w:p>
      <w:pPr>
        <w:pStyle w:val="Style19"/>
        <w:numPr>
          <w:ilvl w:val="0"/>
          <w:numId w:val="1"/>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также предъявлены требования к сечению кабеля, но не указана единица измерения, что не позволяет заполнить заявку, и по данной позиции заказчик предъявил требование к эксплуатационному гарантийному сроку, понятие которого отсутствует в законодательстве;</w:t>
      </w:r>
    </w:p>
    <w:p>
      <w:pPr>
        <w:pStyle w:val="Style19"/>
        <w:numPr>
          <w:ilvl w:val="0"/>
          <w:numId w:val="1"/>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в разделе 6 проекта контракта заказчиком установлена ответственность за неисполнение обязательств сторонами с нарушением требований Постановления Правительства РФ № 1042, которые при этом не соответствуют начальной (максимальной) цене контракта;</w:t>
      </w:r>
    </w:p>
    <w:p>
      <w:pPr>
        <w:pStyle w:val="Style19"/>
        <w:numPr>
          <w:ilvl w:val="0"/>
          <w:numId w:val="1"/>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срок действия контракта - до 15.01.2018, установленный в проекте контракта, противоречит другим условиям исполнения контракта и является чрезмерно сокращенным.</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Представители заказчика не согласны с жалобой, представили письменные возражения на жалобу и пояснили, что нарушений Закона о контрактной системе при проведении закупки допущено не было.</w:t>
      </w:r>
    </w:p>
    <w:p>
      <w:pPr>
        <w:pStyle w:val="Style19"/>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color w:val="000000"/>
          <w:position w:val="0"/>
        </w:rPr>
        <w:t>Рассмотрев жалобу и приложенные к ней материалы, а также другие документы (копии), представленные сторонами, заслушав мнение представителей заказчика, проведя внеплановую проверку, Комиссия Липецкого УФАС России установила следующее:</w:t>
      </w:r>
    </w:p>
    <w:p>
      <w:pPr>
        <w:pStyle w:val="Style19"/>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color w:val="000000"/>
          <w:position w:val="0"/>
        </w:rPr>
        <w:t xml:space="preserve">Документация об электронном аукционе и извещение о проведении электронного аукциона размещены заказчиком на официальном сайте единой информационной системы в сфере закупок </w:t>
      </w:r>
      <w:r>
        <w:fldChar w:fldCharType="begin"/>
      </w:r>
      <w:r>
        <w:rPr>
          <w:color w:val="000000"/>
        </w:rPr>
        <w:instrText> HYPERLINK "http://zakupki.gov.ru" </w:instrText>
      </w:r>
      <w:r>
        <w:fldChar w:fldCharType="separate"/>
      </w:r>
      <w:r>
        <w:rPr>
          <w:rStyle w:val="Hyperlink"/>
          <w:lang w:val="en-US" w:eastAsia="en-US" w:bidi="en-US"/>
          <w:sz w:val="24"/>
          <w:szCs w:val="24"/>
          <w:w w:val="100"/>
          <w:position w:val="0"/>
        </w:rPr>
        <w:t>http://zakupki.gov.ru</w:t>
      </w:r>
      <w:r>
        <w:fldChar w:fldCharType="end"/>
      </w:r>
      <w:r>
        <w:rPr>
          <w:lang w:val="en-US" w:eastAsia="en-US" w:bidi="en-US"/>
          <w:sz w:val="24"/>
          <w:szCs w:val="24"/>
          <w:w w:val="100"/>
          <w:color w:val="000000"/>
          <w:position w:val="0"/>
        </w:rPr>
        <w:t>.</w:t>
      </w:r>
    </w:p>
    <w:p>
      <w:pPr>
        <w:pStyle w:val="Style19"/>
        <w:widowControl w:val="0"/>
        <w:keepNext w:val="0"/>
        <w:keepLines w:val="0"/>
        <w:shd w:val="clear" w:color="auto" w:fill="auto"/>
        <w:bidi w:val="0"/>
        <w:jc w:val="both"/>
        <w:spacing w:before="0" w:after="0" w:line="317" w:lineRule="exact"/>
        <w:ind w:left="40" w:right="0" w:firstLine="700"/>
      </w:pPr>
      <w:r>
        <w:rPr>
          <w:lang w:val="ru-RU" w:eastAsia="ru-RU" w:bidi="ru-RU"/>
          <w:sz w:val="24"/>
          <w:szCs w:val="24"/>
          <w:w w:val="100"/>
          <w:color w:val="000000"/>
          <w:position w:val="0"/>
        </w:rPr>
        <w:t>Начальная (максимальная) цена контракта составляет 8 900 000,00 руб.</w:t>
      </w:r>
    </w:p>
    <w:p>
      <w:pPr>
        <w:pStyle w:val="Style19"/>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color w:val="000000"/>
          <w:position w:val="0"/>
        </w:rPr>
        <w:t>Рассмотрев жалобу заявителя, Комиссия признает ее необоснованной по следующим основаниям.</w:t>
      </w:r>
    </w:p>
    <w:p>
      <w:pPr>
        <w:pStyle w:val="Style19"/>
        <w:numPr>
          <w:ilvl w:val="0"/>
          <w:numId w:val="3"/>
        </w:numPr>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color w:val="000000"/>
          <w:position w:val="0"/>
        </w:rPr>
        <w:t xml:space="preserve"> Требования к составу заявки установлены в п. 24 документации об электронном аукционе. Так, первая часть заявки должна содержать согласие участника электронного аукциона на выполнение работ по ремонту спального корпуса №1 на условиях, предусмотренных настоящей документацией об электронном аукционе, а также- конкретные показатели, используемого товара, соответствующие значениям, установленным в приложении №2 к документации об электронном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9"/>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color w:val="000000"/>
          <w:position w:val="0"/>
        </w:rPr>
        <w:t>Комиссией Липецкого УФАС России установлено, что требование о предоставлении информации о сроке гарантии качества на результат выполненных работ в составе заявки в документации не предъявлено.</w:t>
      </w:r>
    </w:p>
    <w:p>
      <w:pPr>
        <w:pStyle w:val="Style19"/>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color w:val="000000"/>
          <w:position w:val="0"/>
        </w:rPr>
        <w:t>Таким образом, указанный срок не подлежит указанию в заявках участников.</w:t>
      </w:r>
    </w:p>
    <w:p>
      <w:pPr>
        <w:pStyle w:val="Style19"/>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color w:val="000000"/>
          <w:position w:val="0"/>
        </w:rPr>
        <w:t xml:space="preserve">Согласно ч. 2 ст. 70 Закона о контрактной системе, в течение пяти дней с даты размещения в единой информационной системе указанного в части 8 статьи 69 настоящего Федерального закона протокола заказчик размещает в единой информационной системе без своей подписи </w:t>
      </w:r>
      <w:r>
        <w:rPr>
          <w:rStyle w:val="CharStyle22"/>
        </w:rPr>
        <w:t>проект контракта, который</w:t>
      </w:r>
      <w:r>
        <w:rPr>
          <w:lang w:val="ru-RU" w:eastAsia="ru-RU" w:bidi="ru-RU"/>
          <w:sz w:val="24"/>
          <w:szCs w:val="24"/>
          <w:w w:val="100"/>
          <w:color w:val="000000"/>
          <w:position w:val="0"/>
        </w:rPr>
        <w:t xml:space="preserve"> </w:t>
      </w:r>
      <w:r>
        <w:rPr>
          <w:rStyle w:val="CharStyle22"/>
        </w:rPr>
        <w:t>составляется путем включения цены контракта</w:t>
      </w:r>
      <w:r>
        <w:rPr>
          <w:lang w:val="ru-RU" w:eastAsia="ru-RU" w:bidi="ru-RU"/>
          <w:sz w:val="24"/>
          <w:szCs w:val="24"/>
          <w:w w:val="100"/>
          <w:color w:val="000000"/>
          <w:position w:val="0"/>
        </w:rPr>
        <w:t xml:space="preserve">,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 </w:t>
      </w:r>
      <w:r>
        <w:rPr>
          <w:rStyle w:val="CharStyle22"/>
        </w:rPr>
        <w:t>в проект контракта, прилагаемый к</w:t>
      </w:r>
      <w:r>
        <w:rPr>
          <w:lang w:val="ru-RU" w:eastAsia="ru-RU" w:bidi="ru-RU"/>
          <w:sz w:val="24"/>
          <w:szCs w:val="24"/>
          <w:w w:val="100"/>
          <w:color w:val="000000"/>
          <w:position w:val="0"/>
        </w:rPr>
        <w:t xml:space="preserve"> </w:t>
      </w:r>
      <w:r>
        <w:rPr>
          <w:rStyle w:val="CharStyle22"/>
        </w:rPr>
        <w:t>документации о таком аукционе</w:t>
      </w:r>
      <w:r>
        <w:rPr>
          <w:lang w:val="ru-RU" w:eastAsia="ru-RU" w:bidi="ru-RU"/>
          <w:sz w:val="24"/>
          <w:szCs w:val="24"/>
          <w:w w:val="100"/>
          <w:color w:val="000000"/>
          <w:position w:val="0"/>
        </w:rPr>
        <w:t>.</w:t>
      </w:r>
    </w:p>
    <w:p>
      <w:pPr>
        <w:pStyle w:val="Style19"/>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color w:val="000000"/>
          <w:position w:val="0"/>
        </w:rPr>
        <w:t xml:space="preserve">Комиссией установлено, что в п. 4.1.13 проекте контакта указано, что </w:t>
      </w:r>
      <w:r>
        <w:rPr>
          <w:rStyle w:val="CharStyle22"/>
        </w:rPr>
        <w:t>срок предоставления гарантии качества на выполненные работы - 36 месяцев</w:t>
      </w:r>
      <w:r>
        <w:rPr>
          <w:lang w:val="ru-RU" w:eastAsia="ru-RU" w:bidi="ru-RU"/>
          <w:sz w:val="24"/>
          <w:szCs w:val="24"/>
          <w:w w:val="100"/>
          <w:color w:val="000000"/>
          <w:position w:val="0"/>
        </w:rPr>
        <w:t xml:space="preserve"> с момента подписания акта о приёмке выполненных работ (КС-2).</w:t>
      </w:r>
    </w:p>
    <w:p>
      <w:pPr>
        <w:pStyle w:val="Style19"/>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color w:val="000000"/>
          <w:position w:val="0"/>
        </w:rPr>
        <w:t>Таким образом, победителем электронного аукциона принимается данное условие, которое будет содержаться в контракте, заключаемом по итогам закупки.</w:t>
      </w:r>
    </w:p>
    <w:p>
      <w:pPr>
        <w:pStyle w:val="Style19"/>
        <w:numPr>
          <w:ilvl w:val="0"/>
          <w:numId w:val="3"/>
        </w:numPr>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color w:val="000000"/>
          <w:position w:val="0"/>
        </w:rPr>
        <w:t xml:space="preserve"> В 1.3 технического задания указано, что срок предоставления гарантии качества производителя и (или) поставщика на материалы (далее - товар), используемые при выполнении работ, также должен составлять не менее 36 месяцев со дня ввода в эксплуатацию.</w:t>
      </w:r>
    </w:p>
    <w:p>
      <w:pPr>
        <w:pStyle w:val="Style19"/>
        <w:tabs>
          <w:tab w:leader="none" w:pos="3226" w:val="left"/>
          <w:tab w:leader="none" w:pos="9648" w:val="right"/>
        </w:tabs>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В соответствии с ч. 4 ст. 33 Закона о контрактной системе требования к гарантийному сроку товара, работы, услуги и (или) объему предоставления гарантий их качества, к</w:t>
        <w:tab/>
        <w:t>гарантийному обслуживанию товара,</w:t>
        <w:tab/>
        <w:t>к расходам на</w:t>
      </w:r>
    </w:p>
    <w:p>
      <w:pPr>
        <w:pStyle w:val="Style19"/>
        <w:tabs>
          <w:tab w:leader="none" w:pos="3226" w:val="left"/>
          <w:tab w:leader="none" w:pos="5162" w:val="left"/>
          <w:tab w:leader="none" w:pos="7484" w:val="center"/>
        </w:tabs>
        <w:widowControl w:val="0"/>
        <w:keepNext w:val="0"/>
        <w:keepLines w:val="0"/>
        <w:shd w:val="clear" w:color="auto" w:fill="auto"/>
        <w:bidi w:val="0"/>
        <w:jc w:val="both"/>
        <w:spacing w:before="0" w:after="0" w:line="322" w:lineRule="exact"/>
        <w:ind w:left="20" w:right="0" w:firstLine="0"/>
      </w:pPr>
      <w:r>
        <w:rPr>
          <w:lang w:val="ru-RU" w:eastAsia="ru-RU" w:bidi="ru-RU"/>
          <w:sz w:val="24"/>
          <w:szCs w:val="24"/>
          <w:w w:val="100"/>
          <w:color w:val="000000"/>
          <w:position w:val="0"/>
        </w:rPr>
        <w:t>эксплуатацию товара, к</w:t>
        <w:tab/>
        <w:t>обязательности</w:t>
        <w:tab/>
        <w:t>осуществления</w:t>
        <w:tab/>
        <w:t>монтажа и наладки</w:t>
      </w:r>
    </w:p>
    <w:p>
      <w:pPr>
        <w:pStyle w:val="Style19"/>
        <w:tabs>
          <w:tab w:leader="none" w:pos="3226" w:val="left"/>
          <w:tab w:leader="none" w:pos="7484" w:val="center"/>
          <w:tab w:leader="none" w:pos="9648" w:val="right"/>
        </w:tabs>
        <w:widowControl w:val="0"/>
        <w:keepNext w:val="0"/>
        <w:keepLines w:val="0"/>
        <w:shd w:val="clear" w:color="auto" w:fill="auto"/>
        <w:bidi w:val="0"/>
        <w:jc w:val="both"/>
        <w:spacing w:before="0" w:after="0" w:line="322" w:lineRule="exact"/>
        <w:ind w:left="20" w:right="20" w:firstLine="0"/>
      </w:pPr>
      <w:r>
        <w:rPr>
          <w:lang w:val="ru-RU" w:eastAsia="ru-RU" w:bidi="ru-RU"/>
          <w:sz w:val="24"/>
          <w:szCs w:val="24"/>
          <w:w w:val="100"/>
          <w:color w:val="000000"/>
          <w:position w:val="0"/>
        </w:rPr>
        <w:t xml:space="preserve">товара, к обучению лиц, осуществляющих использование и обслуживание товара, </w:t>
      </w:r>
      <w:r>
        <w:rPr>
          <w:rStyle w:val="CharStyle22"/>
        </w:rPr>
        <w:t>устанавливаются заказчиком при необходимости</w:t>
      </w:r>
      <w:r>
        <w:rPr>
          <w:lang w:val="ru-RU" w:eastAsia="ru-RU" w:bidi="ru-RU"/>
          <w:sz w:val="24"/>
          <w:szCs w:val="24"/>
          <w:w w:val="100"/>
          <w:color w:val="000000"/>
          <w:position w:val="0"/>
        </w:rPr>
        <w:t>. В случае определения поставщика машин и оборудования заказчик устанавливает в документации о закупке требования к</w:t>
        <w:tab/>
        <w:t>гарантийному сроку товара</w:t>
        <w:tab/>
        <w:t>и</w:t>
        <w:tab/>
        <w:t>(или) объему</w:t>
      </w:r>
    </w:p>
    <w:p>
      <w:pPr>
        <w:pStyle w:val="Style19"/>
        <w:tabs>
          <w:tab w:leader="none" w:pos="5106" w:val="left"/>
          <w:tab w:leader="none" w:pos="7484" w:val="center"/>
          <w:tab w:leader="none" w:pos="9648" w:val="right"/>
        </w:tabs>
        <w:widowControl w:val="0"/>
        <w:keepNext w:val="0"/>
        <w:keepLines w:val="0"/>
        <w:shd w:val="clear" w:color="auto" w:fill="auto"/>
        <w:bidi w:val="0"/>
        <w:jc w:val="both"/>
        <w:spacing w:before="0" w:after="0" w:line="322" w:lineRule="exact"/>
        <w:ind w:left="20" w:right="20" w:firstLine="0"/>
      </w:pPr>
      <w:r>
        <w:rPr>
          <w:lang w:val="ru-RU" w:eastAsia="ru-RU" w:bidi="ru-RU"/>
          <w:sz w:val="24"/>
          <w:szCs w:val="24"/>
          <w:w w:val="100"/>
          <w:color w:val="000000"/>
          <w:position w:val="0"/>
        </w:rPr>
        <w:t>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w:t>
        <w:tab/>
        <w:t>товара, если</w:t>
        <w:tab/>
        <w:t>это</w:t>
        <w:tab/>
        <w:t>предусмотрено</w:t>
      </w:r>
    </w:p>
    <w:p>
      <w:pPr>
        <w:pStyle w:val="Style19"/>
        <w:widowControl w:val="0"/>
        <w:keepNext w:val="0"/>
        <w:keepLines w:val="0"/>
        <w:shd w:val="clear" w:color="auto" w:fill="auto"/>
        <w:bidi w:val="0"/>
        <w:jc w:val="both"/>
        <w:spacing w:before="0" w:after="0" w:line="322" w:lineRule="exact"/>
        <w:ind w:left="20" w:right="20" w:firstLine="0"/>
      </w:pPr>
      <w:r>
        <w:rPr>
          <w:lang w:val="ru-RU" w:eastAsia="ru-RU" w:bidi="ru-RU"/>
          <w:sz w:val="24"/>
          <w:szCs w:val="24"/>
          <w:w w:val="100"/>
          <w:color w:val="000000"/>
          <w:position w:val="0"/>
        </w:rPr>
        <w:t>технической документацией на товар. В случае определения поставщика новых машин и оборудования заказчик устанавливает в документации о закупке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p>
    <w:p>
      <w:pPr>
        <w:pStyle w:val="Style19"/>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 xml:space="preserve">При этом, </w:t>
      </w:r>
      <w:r>
        <w:rPr>
          <w:rStyle w:val="CharStyle22"/>
        </w:rPr>
        <w:t>обязанность</w:t>
      </w:r>
      <w:r>
        <w:rPr>
          <w:lang w:val="ru-RU" w:eastAsia="ru-RU" w:bidi="ru-RU"/>
          <w:sz w:val="24"/>
          <w:szCs w:val="24"/>
          <w:w w:val="100"/>
          <w:color w:val="000000"/>
          <w:position w:val="0"/>
        </w:rPr>
        <w:t xml:space="preserve"> по установлению требования к предоставлению гарантии производителя и (или) поставщика предусмотрена в отношении закупок новых машин и оборудования.</w:t>
      </w:r>
    </w:p>
    <w:p>
      <w:pPr>
        <w:pStyle w:val="Style19"/>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 xml:space="preserve">Вместе с тем, вышеприведенные положения закона </w:t>
      </w:r>
      <w:r>
        <w:rPr>
          <w:rStyle w:val="CharStyle22"/>
        </w:rPr>
        <w:t>не исключают права</w:t>
      </w:r>
      <w:r>
        <w:rPr>
          <w:lang w:val="ru-RU" w:eastAsia="ru-RU" w:bidi="ru-RU"/>
          <w:sz w:val="24"/>
          <w:szCs w:val="24"/>
          <w:w w:val="100"/>
          <w:color w:val="000000"/>
          <w:position w:val="0"/>
        </w:rPr>
        <w:t xml:space="preserve"> </w:t>
      </w:r>
      <w:r>
        <w:rPr>
          <w:rStyle w:val="CharStyle22"/>
        </w:rPr>
        <w:t>заказчика</w:t>
      </w:r>
      <w:r>
        <w:rPr>
          <w:lang w:val="ru-RU" w:eastAsia="ru-RU" w:bidi="ru-RU"/>
          <w:sz w:val="24"/>
          <w:szCs w:val="24"/>
          <w:w w:val="100"/>
          <w:color w:val="000000"/>
          <w:position w:val="0"/>
        </w:rPr>
        <w:t xml:space="preserve"> установить требования к гарантии производителя и (или) поставщика на материалы, используемые при выполнении работ.</w:t>
      </w:r>
    </w:p>
    <w:p>
      <w:pPr>
        <w:pStyle w:val="Style19"/>
        <w:numPr>
          <w:ilvl w:val="0"/>
          <w:numId w:val="3"/>
        </w:numPr>
        <w:tabs>
          <w:tab w:leader="none" w:pos="1167" w:val="left"/>
        </w:tabs>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Описание объекта закупки содержится в техническом задании (приложение № 2 к документации).</w:t>
      </w:r>
    </w:p>
    <w:p>
      <w:pPr>
        <w:pStyle w:val="Style19"/>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Наименование, требования к функциональным, техническим и качественным характеристикам товара (материалам), предлагаемого для использования при выполнении работ, указаны в техническом задании (Приложение 2 Раздел III) к документации об электронном аукционе.</w:t>
      </w:r>
    </w:p>
    <w:p>
      <w:pPr>
        <w:pStyle w:val="Style19"/>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По позиции «Гранит керамический многоцветный, полированный» заказчиком указано: длина - не менее 600 мм, ширина - не менее 300 мм, толщина - в диапазоне от 8 до 10 мм, по типу - может быть прямоугольная плитка или квадратная (в зависимости от размеров, предложенных участником).</w:t>
      </w:r>
    </w:p>
    <w:p>
      <w:pPr>
        <w:pStyle w:val="Style19"/>
        <w:tabs>
          <w:tab w:leader="none" w:pos="9648" w:val="right"/>
        </w:tabs>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Согласно инструкции по заполнению первой части заявки, участник электронного аукциона должен указать следующие сведения о товаре, предлагаемом для использования при выполнении работ:</w:t>
        <w:tab/>
        <w:t>конкретные</w:t>
      </w:r>
    </w:p>
    <w:p>
      <w:pPr>
        <w:pStyle w:val="Style19"/>
        <w:widowControl w:val="0"/>
        <w:keepNext w:val="0"/>
        <w:keepLines w:val="0"/>
        <w:shd w:val="clear" w:color="auto" w:fill="auto"/>
        <w:bidi w:val="0"/>
        <w:jc w:val="both"/>
        <w:spacing w:before="0" w:after="0" w:line="322" w:lineRule="exact"/>
        <w:ind w:left="20" w:right="20" w:firstLine="0"/>
      </w:pPr>
      <w:r>
        <w:rPr>
          <w:lang w:val="ru-RU" w:eastAsia="ru-RU" w:bidi="ru-RU"/>
          <w:sz w:val="24"/>
          <w:szCs w:val="24"/>
          <w:w w:val="100"/>
          <w:color w:val="000000"/>
          <w:position w:val="0"/>
        </w:rPr>
        <w:t>показатели используемого товара, соответствующие значениям, установленным в приложении №2 (Раздел III) «Техническое задание» «Таблица». Параметры и характеристики товара, предлагаемого для использования при выполнении работ должны иметь конкретные показатели, в том числе без сопровождения их словами «не менее», «не более», «или», «от», «до» (за исключением случаев, когда такие параметры и характеристики не могут быть описаны точными значениями).</w:t>
      </w:r>
    </w:p>
    <w:p>
      <w:pPr>
        <w:pStyle w:val="Style19"/>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Таким образом, в отношении толщины плитки участник должен указать любое из значений от 8 до 10 мм.</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При этом, требования к заявке, а также инструкция по заполнению заявки не устанавливают требование об указании участниками значений показателей характеристик материалов, содержащихся в локальном сметном расчете.</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При этом, положения документации позволяют представать значение толщины плитки, равное содержащемуся в локальном сметном расчете.</w:t>
      </w:r>
    </w:p>
    <w:p>
      <w:pPr>
        <w:pStyle w:val="Style19"/>
        <w:numPr>
          <w:ilvl w:val="0"/>
          <w:numId w:val="3"/>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По позиции «Дверной блок» установлено следующее: механическая прочность - не менее Мд1, звукоизоляция- не менее 31, теплоизоляция- не менее Т1, воздухопроницаемость - не менее В2, тип - ДН, ДВ, предел водонепроницаемости - не менее В.</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Исходя из приведенных положений документации, а также вышеприведенных положений инструкции по заполнению первой части заявки, следует, что участник закупки должен указать параметры и характеристики товара, предлагаемого для использования при выполнении работ, должны в виде конкретных показателей, например, механическая прочность, Мд2, звукоизоляция 32,теплоизоляция Т2.</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При этом, тип дверного блока также является показателем товара и указывается в первой части заявки. Кроме того, из установленных заказчиком требований следует, что вышеприведенные показатели (механическая прочность - не менее Мд1, звукоизоляция- не менее 31, теплоизоляция- не менее Т1, воздухопроницаемость - не менее В2, предел водонепроницаемости - не менее В) относятся к двум типам дверных блоков - ДН, ДВ.</w:t>
      </w:r>
    </w:p>
    <w:p>
      <w:pPr>
        <w:pStyle w:val="Style19"/>
        <w:numPr>
          <w:ilvl w:val="0"/>
          <w:numId w:val="3"/>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По позиции «Кабель» заказчик, в числе прочего, указал: Кабель ВВГнг, ГОСТ 31996-2012, сечения: 1,5 и 2,5 и 4 и 6, эксплуатационный гарантийный срок провода - не менее пяти лет.</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Как следует из ранее приведенных требований к составу заявки и инструкции по ее заполнению, заказчиком не предъявлено требование об указании единицы сечения кабеля. Таким образом, данная информация не подлежит указанию в первой части заявки, и ее отсутствие не является основанием для отказа участникам в допуске к участию электронном аукционе.</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Согласно ГОСТу 31996-2012 "Кабели силовые с пластмассовой изоляцией на номинальное напряжение 0,66; 1 и 3 кВ. Общие технические условия" </w:t>
      </w:r>
      <w:r>
        <w:rPr>
          <w:rStyle w:val="CharStyle22"/>
        </w:rPr>
        <w:t>гарантийный срок эксплуатации - 5 лет</w:t>
      </w:r>
      <w:r>
        <w:rPr>
          <w:lang w:val="ru-RU" w:eastAsia="ru-RU" w:bidi="ru-RU"/>
          <w:sz w:val="24"/>
          <w:szCs w:val="24"/>
          <w:w w:val="100"/>
          <w:color w:val="000000"/>
          <w:position w:val="0"/>
        </w:rPr>
        <w:t>. Гарантийный срок исчисляют с даты ввода кабеля в эксплуатацию, но не позднее 6 мес с даты изготовления.</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Таким образом, поскольку заказчиком предъявлено требование о соответствии кабеля определенному ГОСТу, то участник закупки в первой части заявки должен указать характеристики таким образом, чтобы они соответствовали данному ГОСТу.</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Содержащееся требование к эксплуатационному гарантийному сроку провода - не менее пяти лет, не противоречит вышеприведенным положениям ГОСТа, указанного в документации.</w:t>
      </w:r>
    </w:p>
    <w:p>
      <w:pPr>
        <w:pStyle w:val="Style19"/>
        <w:numPr>
          <w:ilvl w:val="0"/>
          <w:numId w:val="3"/>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В разделе 6 проекта контракта содержатся положения об ответственности сторон за неисполнение или ненадлежащее исполнение обязательств, предусмотренных контрактом.</w:t>
      </w:r>
    </w:p>
    <w:p>
      <w:pPr>
        <w:pStyle w:val="Style19"/>
        <w:widowControl w:val="0"/>
        <w:keepNext w:val="0"/>
        <w:keepLines w:val="0"/>
        <w:shd w:val="clear" w:color="auto" w:fill="auto"/>
        <w:bidi w:val="0"/>
        <w:jc w:val="both"/>
        <w:spacing w:before="0" w:after="0" w:line="346" w:lineRule="exact"/>
        <w:ind w:left="20" w:right="20" w:firstLine="700"/>
      </w:pPr>
      <w:r>
        <w:rPr>
          <w:lang w:val="ru-RU" w:eastAsia="ru-RU" w:bidi="ru-RU"/>
          <w:sz w:val="24"/>
          <w:szCs w:val="24"/>
          <w:w w:val="100"/>
          <w:color w:val="000000"/>
          <w:position w:val="0"/>
        </w:rPr>
        <w:t>Согласно ч. 5, 6, 7, 8 ст. 34 Закона о контрактной системе размеры штрафов и пеней устанавливаются контрактом в виде фиксированной суммы, определенной в порядке, установленном Правительством Российской Федерации.</w:t>
      </w:r>
    </w:p>
    <w:p>
      <w:pPr>
        <w:pStyle w:val="Style19"/>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Постановлением Правительства Российской Федерации от 30.08.2017 № 1042 утверждены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Правила).</w:t>
      </w:r>
    </w:p>
    <w:p>
      <w:pPr>
        <w:pStyle w:val="Style19"/>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Комиссией Липецкого УФАС России установлено, что в разделе 6 проекта контракта заказчиком указаны все установленные Правилами виды штрафов в размерах, также определенных Правилами.</w:t>
      </w:r>
    </w:p>
    <w:p>
      <w:pPr>
        <w:pStyle w:val="Style19"/>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При этом, согласно условиям проекта контракта фиксированный размер штрафов будет включаться в проект контракта после определения победителя закупки, который предложит соответствующую цену контракта, исходя из которой и будет рассчитываться фиксированный размер штрафов.</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Таким образом, учитывая, что контракт заключается по цене, предлагаемой участником закупки, заказчик целесообразно установил в проекте контракта под отлагательным условием все возможные значения размеров штрафа, предусмотренные Правилами для каждого порогового значения цены контракта.</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Также наличие в проекте контракта, являющимся типовым для заказчика, всех установленных Правилами видов штрафов, не может рассматриваться в качестве нарушения требований Закона о контрактной системе, Правил и прав победителя закупки, поскольку штрафы подлежат взысканию исключительно за нарушение определенных контрактом обязательств.</w:t>
      </w:r>
    </w:p>
    <w:p>
      <w:pPr>
        <w:pStyle w:val="Style19"/>
        <w:numPr>
          <w:ilvl w:val="0"/>
          <w:numId w:val="3"/>
        </w:numPr>
        <w:tabs>
          <w:tab w:leader="none" w:pos="1100" w:val="left"/>
        </w:tabs>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 соответствии с п. 10.1 проекта контракта настоящий Контракт вступает в силу с момента его подписания Сторонами и действует до 15.01.2018.</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При этом, согласно п. 3.1 проекта контракта сроком окончания выполнения работ является 25 декабря 2017.</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Таким образом, несмотря на срок действия контакта подрядчик обязан выполнить работы до 25 декабря 2017.</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Пунктом 2.3 проекта контракта предусмотрено, что оплата работ производится Заказчиком за счет средств областного бюджета путем безналичного перечисления денежных средств на расчетный счет Подрядчика по факту выполнения работ в течение 5 календарных дней после подписания акта приемки выполненных работ (форма КС-2), справки о стоимости выполненных работ и затрат (форма КС-3) и предоставления документов на оплату.</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Приемка выполненных работ осуществляется Заказчиком с участием представителя Подрядчика по месту выполнения работ и оформляется путем подписания акта приемки выполненных работ (форма КС-2) (далее - Акт) и справки о стоимости выполненных работ и затрат (форма КС-3) (далее - Справка). Акт и Справка предоставляются Подрядчиком </w:t>
      </w:r>
      <w:r>
        <w:rPr>
          <w:rStyle w:val="CharStyle22"/>
        </w:rPr>
        <w:t>не позднее дня</w:t>
      </w:r>
      <w:r>
        <w:rPr>
          <w:lang w:val="ru-RU" w:eastAsia="ru-RU" w:bidi="ru-RU"/>
          <w:sz w:val="24"/>
          <w:szCs w:val="24"/>
          <w:w w:val="100"/>
          <w:color w:val="000000"/>
          <w:position w:val="0"/>
        </w:rPr>
        <w:t xml:space="preserve"> </w:t>
      </w:r>
      <w:r>
        <w:rPr>
          <w:rStyle w:val="CharStyle22"/>
        </w:rPr>
        <w:t>окончания работ.</w:t>
      </w:r>
      <w:r>
        <w:rPr>
          <w:lang w:val="ru-RU" w:eastAsia="ru-RU" w:bidi="ru-RU"/>
          <w:sz w:val="24"/>
          <w:szCs w:val="24"/>
          <w:w w:val="100"/>
          <w:color w:val="000000"/>
          <w:position w:val="0"/>
        </w:rPr>
        <w:t xml:space="preserve"> Акт и Справка подписываются Заказчиком в срок, не позднее рабочего дня, следующего за днем завершения экспертизы. Экспертиза выполненных работ может проводиться Заказчиком своими силами или к ее проведению могут привлекаться эксперты, экспертные организации на основании контрактов, за исключением случаев, когда привлечение экспертов, экспертных организаций является обязательным. Экспертиза своими силами проводится Заказчиком в </w:t>
      </w:r>
      <w:r>
        <w:rPr>
          <w:rStyle w:val="CharStyle22"/>
        </w:rPr>
        <w:t>течение 10 рабочих дней</w:t>
      </w:r>
      <w:r>
        <w:rPr>
          <w:lang w:val="ru-RU" w:eastAsia="ru-RU" w:bidi="ru-RU"/>
          <w:sz w:val="24"/>
          <w:szCs w:val="24"/>
          <w:w w:val="100"/>
          <w:color w:val="000000"/>
          <w:position w:val="0"/>
        </w:rPr>
        <w:t xml:space="preserve"> по факту выполнения работ и предоставления Подрядчиком Акта и Справки (пп. 5.1, 5.2, 5.3, 5.4 проекта контракта).</w:t>
      </w:r>
    </w:p>
    <w:p>
      <w:pPr>
        <w:pStyle w:val="Style19"/>
        <w:widowControl w:val="0"/>
        <w:keepNext w:val="0"/>
        <w:keepLines w:val="0"/>
        <w:shd w:val="clear" w:color="auto" w:fill="auto"/>
        <w:bidi w:val="0"/>
        <w:jc w:val="both"/>
        <w:spacing w:before="0" w:after="0" w:line="326" w:lineRule="exact"/>
        <w:ind w:left="20" w:right="20" w:firstLine="700"/>
      </w:pPr>
      <w:r>
        <w:rPr>
          <w:lang w:val="ru-RU" w:eastAsia="ru-RU" w:bidi="ru-RU"/>
          <w:sz w:val="24"/>
          <w:szCs w:val="24"/>
          <w:w w:val="100"/>
          <w:color w:val="000000"/>
          <w:position w:val="0"/>
        </w:rPr>
        <w:t>Общий срок действия контракта включает в себя выполнение обязательств обеими сторонами.</w:t>
      </w:r>
    </w:p>
    <w:p>
      <w:pPr>
        <w:pStyle w:val="Style19"/>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При этом, истечение срока действия контракта не влечет за собой прекращение исполнения обязательств сторонами, а положения проекта контракта не исключают возможности досрочного исполнения сторонами своих обязательств.</w:t>
      </w:r>
    </w:p>
    <w:p>
      <w:pPr>
        <w:pStyle w:val="Style19"/>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Таким образом, срок действия контракта, а также сроки исполнения сторонами обязательств, установлены заказчиком, исходя из его потребностей, и не противоречат требованиям Закона о контрактной систем.</w:t>
      </w:r>
    </w:p>
    <w:p>
      <w:pPr>
        <w:pStyle w:val="Style19"/>
        <w:widowControl w:val="0"/>
        <w:keepNext w:val="0"/>
        <w:keepLines w:val="0"/>
        <w:shd w:val="clear" w:color="auto" w:fill="auto"/>
        <w:bidi w:val="0"/>
        <w:jc w:val="both"/>
        <w:spacing w:before="0" w:after="244" w:line="322" w:lineRule="exact"/>
        <w:ind w:left="20" w:right="20" w:firstLine="700"/>
      </w:pPr>
      <w:r>
        <w:rPr>
          <w:lang w:val="ru-RU" w:eastAsia="ru-RU" w:bidi="ru-RU"/>
          <w:sz w:val="24"/>
          <w:szCs w:val="24"/>
          <w:w w:val="100"/>
          <w:color w:val="000000"/>
          <w:position w:val="0"/>
        </w:rPr>
        <w:t>Вместе с тем, Комиссия отмечает, что заявителем на заседание Комиссии не явился и не представил надлежащих доказательств, подтверждающих обоснованность жалобы.</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При проведении внеплановой проверки осуществления закупки в соответствии с требованиями ст. 99 Закона о контрактной системе, в действиях заказчика установлены нарушения п. 2 ч. 1 ст. 64, ч. 6 ст. 63 Закона о контрактной системе и в действиях единой комиссии нарушение ч. 5 ст. 67 Закона о контрактной системе, которые заключаются в следующем.</w:t>
      </w:r>
    </w:p>
    <w:p>
      <w:pPr>
        <w:pStyle w:val="Style19"/>
        <w:numPr>
          <w:ilvl w:val="0"/>
          <w:numId w:val="5"/>
        </w:numPr>
        <w:tabs>
          <w:tab w:leader="none" w:pos="1129" w:val="left"/>
        </w:tabs>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Как было установлено при рассмотрении жалобы, наименование, требования к функциональным, техническим и качественным характеристикам товара (материалам), предлагаемого для использования при выполнении работ, указаны в техническом задании (Приложение 2 Раздел </w:t>
      </w:r>
      <w:r>
        <w:rPr>
          <w:rStyle w:val="CharStyle23"/>
        </w:rPr>
        <w:t>III)</w:t>
      </w:r>
      <w:r>
        <w:rPr>
          <w:lang w:val="en-US" w:eastAsia="en-US" w:bidi="en-US"/>
          <w:sz w:val="24"/>
          <w:szCs w:val="24"/>
          <w:w w:val="100"/>
          <w:color w:val="000000"/>
          <w:position w:val="0"/>
        </w:rPr>
        <w:t xml:space="preserve"> </w:t>
      </w:r>
      <w:r>
        <w:rPr>
          <w:lang w:val="ru-RU" w:eastAsia="ru-RU" w:bidi="ru-RU"/>
          <w:sz w:val="24"/>
          <w:szCs w:val="24"/>
          <w:w w:val="100"/>
          <w:color w:val="000000"/>
          <w:position w:val="0"/>
        </w:rPr>
        <w:t>к документации об электронном аукционе.</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Так, по позиции № 2 «Дверной блок» установлено следующее: механическая прочность - не менее Мд1, звукоизоляция- не менее 31, теплоизоляция- не менее Т1, воздухопроницаемость - не менее В2, тип - ДН, ДВ, предел водонепроницаемости - не менее В.</w:t>
      </w:r>
    </w:p>
    <w:p>
      <w:pPr>
        <w:pStyle w:val="Style19"/>
        <w:tabs>
          <w:tab w:leader="none" w:pos="9644" w:val="right"/>
        </w:tabs>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Согласно инструкции по заполнению первой части заявки, участник электронного аукциона должен указать следующие сведения о товаре, предлагаемом для использования при выполнении работ:</w:t>
        <w:tab/>
        <w:t>конкретные</w:t>
      </w:r>
    </w:p>
    <w:p>
      <w:pPr>
        <w:pStyle w:val="Style19"/>
        <w:widowControl w:val="0"/>
        <w:keepNext w:val="0"/>
        <w:keepLines w:val="0"/>
        <w:shd w:val="clear" w:color="auto" w:fill="auto"/>
        <w:bidi w:val="0"/>
        <w:jc w:val="both"/>
        <w:spacing w:before="0" w:after="0" w:line="317" w:lineRule="exact"/>
        <w:ind w:left="20" w:right="20" w:firstLine="0"/>
      </w:pPr>
      <w:r>
        <w:rPr>
          <w:lang w:val="ru-RU" w:eastAsia="ru-RU" w:bidi="ru-RU"/>
          <w:sz w:val="24"/>
          <w:szCs w:val="24"/>
          <w:w w:val="100"/>
          <w:color w:val="000000"/>
          <w:position w:val="0"/>
        </w:rPr>
        <w:t xml:space="preserve">показатели используемого товара, соответствующие значениям, установленным в приложении №2 (Раздел </w:t>
      </w:r>
      <w:r>
        <w:rPr>
          <w:rStyle w:val="CharStyle23"/>
          <w:lang w:val="ru-RU" w:eastAsia="ru-RU" w:bidi="ru-RU"/>
        </w:rPr>
        <w:t>III)</w:t>
      </w:r>
      <w:r>
        <w:rPr>
          <w:lang w:val="ru-RU" w:eastAsia="ru-RU" w:bidi="ru-RU"/>
          <w:sz w:val="24"/>
          <w:szCs w:val="24"/>
          <w:w w:val="100"/>
          <w:color w:val="000000"/>
          <w:position w:val="0"/>
        </w:rPr>
        <w:t xml:space="preserve"> «Техническое задание» «Таблица». Параметры и характеристики товара, предлагаемого для использования при выполнении работ должны иметь конкретные показатели, в том числе без сопровождения их словами «не менее», «не более», «или», «от», «до» (за исключением случаев, когда такие параметры и характеристики не могут быть описаны точными значениями).</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Комиссией установлено, что каждому типу дверных блоков, в частности, в соответствии с ГОСТом 475-2016 "Блоки дверные деревянные и комбинированные. Общие технические условия", присущи свои характеристики, в том числе, установленные заказчиком.</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Вместе с тем, требования к содержанию заявки и инструкция по ее заполнению, исключают возможность указания в заявке различных характеристик, присущих разным типам дверных блоков, например, звукоизоляция- 31 для ДВ и 32 для ДН.</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При этом, инструкция по заполнению первой части заявки не содержит информации, каким образом участникам закупки необходимо указывать сведения о типе дверного блока - оба или один из указанных заказчиком.</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Таким образом, поскольку инструкция по заполнению заявки не содержит правил описания участниками в своих заявках значений типа дверного блока - ДН и ДВ либо только один из них, то данная инструкция не является надлежащей, что, в свою очередь, является нарушением п. 2 ч. 1 ст. 64 Закона о контрактной системе.</w:t>
      </w:r>
    </w:p>
    <w:p>
      <w:pPr>
        <w:pStyle w:val="Style19"/>
        <w:numPr>
          <w:ilvl w:val="0"/>
          <w:numId w:val="5"/>
        </w:numPr>
        <w:tabs>
          <w:tab w:leader="none" w:pos="1043" w:val="left"/>
        </w:tabs>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Более того, Комиссией установлено, что отсутствие в рассматриваемом случае надлежащей инструкции, содержащей положения о правилах описания значений такого показателя, как тип дверного блока, привело к необоснованному отказу в допуске к участию в электронном аукционе.</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Так, 06.11.2017 единой комиссией осуществлялось рассмотрение первых частей заявок.</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Согласно протоколу рассмотрения заявок участнику, подавшему заявку с порядковым номером 1, отказано в допуске к участию в электронном аукционе по причине:</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«Отказать в допуске на основании несоответствия информации, предусмотренной частью 3 статьи 66 Федерального закона №44-ФЗ, требованиям документации о таком аукционе: участник указал в пункте 2 своей заявки "Предложение по материалам" только один тип дверного блока: "ДВ". А по требованиям Заказчика согласно пункта 2 части III. Технического задания «Требования к применяемым материалам» Заказчик </w:t>
      </w:r>
      <w:r>
        <w:rPr>
          <w:rStyle w:val="CharStyle24"/>
        </w:rPr>
        <w:t>перечислил</w:t>
      </w:r>
      <w:r>
        <w:rPr>
          <w:lang w:val="ru-RU" w:eastAsia="ru-RU" w:bidi="ru-RU"/>
          <w:sz w:val="24"/>
          <w:szCs w:val="24"/>
          <w:w w:val="100"/>
          <w:color w:val="000000"/>
          <w:position w:val="0"/>
        </w:rPr>
        <w:t xml:space="preserve"> два необходимых типа дверей: ДН, ДВ. Согласно пункту 74 Технического задания участник понимал, что речь идет о двух типах дверей - так как в объемах и перечне работ указал установку блоков "в наружных и внутренних дверных проёмах".».</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Частью 1 ст. 67 Закона о контрактной системе установлено, что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Согласно ч. 4 ст. 67 Закона о контрактной системе участник электронного аукциона не допускается к участию в нем в случае:</w:t>
      </w:r>
    </w:p>
    <w:p>
      <w:pPr>
        <w:pStyle w:val="Style19"/>
        <w:numPr>
          <w:ilvl w:val="0"/>
          <w:numId w:val="7"/>
        </w:numPr>
        <w:tabs>
          <w:tab w:leader="none" w:pos="1158" w:val="left"/>
        </w:tabs>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19"/>
        <w:numPr>
          <w:ilvl w:val="0"/>
          <w:numId w:val="7"/>
        </w:numPr>
        <w:tabs>
          <w:tab w:leader="none" w:pos="1162" w:val="left"/>
        </w:tabs>
        <w:widowControl w:val="0"/>
        <w:keepNext w:val="0"/>
        <w:keepLines w:val="0"/>
        <w:shd w:val="clear" w:color="auto" w:fill="auto"/>
        <w:bidi w:val="0"/>
        <w:jc w:val="both"/>
        <w:spacing w:before="0" w:after="0" w:line="350" w:lineRule="exact"/>
        <w:ind w:left="20" w:right="20" w:firstLine="700"/>
      </w:pPr>
      <w:r>
        <w:rPr>
          <w:lang w:val="ru-RU" w:eastAsia="ru-RU" w:bidi="ru-RU"/>
          <w:sz w:val="24"/>
          <w:szCs w:val="24"/>
          <w:w w:val="100"/>
          <w:color w:val="000000"/>
          <w:position w:val="0"/>
        </w:rPr>
        <w:t xml:space="preserve">несоответствия информации, предусмотренной частью 3 статьи 66 настоящего Федерального закона, </w:t>
      </w:r>
      <w:r>
        <w:rPr>
          <w:rStyle w:val="CharStyle25"/>
        </w:rPr>
        <w:t xml:space="preserve">требованиям документации </w:t>
      </w:r>
      <w:r>
        <w:rPr>
          <w:lang w:val="ru-RU" w:eastAsia="ru-RU" w:bidi="ru-RU"/>
          <w:sz w:val="24"/>
          <w:szCs w:val="24"/>
          <w:w w:val="100"/>
          <w:color w:val="000000"/>
          <w:position w:val="0"/>
        </w:rPr>
        <w:t>о таком аукционе.</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Таким образом, при отсутствии надлежащей инструкции, содержащей положения о правилах описания значений типа дверного блока, вывод единой комиссии о непредставлении участником, подавшим заявку с порядковым номером 1, информации, предусмотренной документацией, не является основанным на положениях документации.</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Следовательно, отказ в допуске к участию в электронном аукционе участнику, подавшему заявку с порядковым номером 1, единой комиссии совершен в нарушение ч. 5 ст. 67 Закона о контрактной системе.</w:t>
      </w:r>
    </w:p>
    <w:p>
      <w:pPr>
        <w:pStyle w:val="Style19"/>
        <w:numPr>
          <w:ilvl w:val="0"/>
          <w:numId w:val="5"/>
        </w:numPr>
        <w:tabs>
          <w:tab w:leader="none" w:pos="1162" w:val="left"/>
        </w:tabs>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На официальном сайте единой информационной системы в сфере закупок </w:t>
      </w:r>
      <w:r>
        <w:fldChar w:fldCharType="begin"/>
      </w:r>
      <w:r>
        <w:rPr>
          <w:color w:val="000000"/>
        </w:rPr>
        <w:instrText> HYPERLINK "http://zakupki.gov.ru" </w:instrText>
      </w:r>
      <w:r>
        <w:fldChar w:fldCharType="separate"/>
      </w:r>
      <w:r>
        <w:rPr>
          <w:rStyle w:val="Hyperlink"/>
          <w:lang w:val="en-US" w:eastAsia="en-US" w:bidi="en-US"/>
          <w:sz w:val="24"/>
          <w:szCs w:val="24"/>
          <w:w w:val="100"/>
          <w:position w:val="0"/>
        </w:rPr>
        <w:t>http://zakupki.gov.ru</w:t>
      </w:r>
      <w:r>
        <w:fldChar w:fldCharType="end"/>
      </w:r>
      <w:r>
        <w:rPr>
          <w:lang w:val="en-US" w:eastAsia="en-US" w:bidi="en-US"/>
          <w:sz w:val="24"/>
          <w:szCs w:val="24"/>
          <w:w w:val="100"/>
          <w:color w:val="000000"/>
          <w:position w:val="0"/>
        </w:rPr>
        <w:t xml:space="preserve"> </w:t>
      </w:r>
      <w:r>
        <w:rPr>
          <w:lang w:val="ru-RU" w:eastAsia="ru-RU" w:bidi="ru-RU"/>
          <w:sz w:val="24"/>
          <w:szCs w:val="24"/>
          <w:w w:val="100"/>
          <w:color w:val="000000"/>
          <w:position w:val="0"/>
        </w:rPr>
        <w:t>25.09.2017 заказчиком размещено извещение о проведении электронного аукциона.</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Согласно ч. 6 ст. 63 Закона о контрактной системе заказчик вправе принять решение о внесении изменений в извещение о проведении электронного аукциона не позднее чем за два дня до даты окончания срока подачи заявок на участие в таком аукционе. Изменение объекта закупки при проведении такого аукциона не допускается. В течение одного дня с даты принятия данного решения заказчик размещает в единой информационной системе указанные изменения. При этом срок подачи заявок на участие в таком аукционе должен быть продлен таким образом, чтобы с даты размещения изменений, внесенных в извещение о проведении такого аукциона,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контракта (цена лота) не превышает три миллиона рублей, не менее чем семь дней.</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Как было установлено, заказчиком были внесены изменения в документацию об электронном аукционе и изменения в извещение о проведении электронного аукциона.</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При этом, срок окончания подачи заявок согласно извещению о проведении закупки установлен до 08:10 час. 06.1 1.2017.</w:t>
      </w:r>
    </w:p>
    <w:p>
      <w:pPr>
        <w:pStyle w:val="Style19"/>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color w:val="000000"/>
          <w:position w:val="0"/>
        </w:rPr>
        <w:t>Согласно производственному календарю, 06.11.2017 является нерабочим</w:t>
      </w:r>
    </w:p>
    <w:p>
      <w:pPr>
        <w:pStyle w:val="Style19"/>
        <w:widowControl w:val="0"/>
        <w:keepNext w:val="0"/>
        <w:keepLines w:val="0"/>
        <w:shd w:val="clear" w:color="auto" w:fill="auto"/>
        <w:bidi w:val="0"/>
        <w:jc w:val="left"/>
        <w:spacing w:before="0" w:after="0" w:line="317" w:lineRule="exact"/>
        <w:ind w:left="20" w:right="0" w:firstLine="0"/>
      </w:pPr>
      <w:r>
        <w:rPr>
          <w:lang w:val="ru-RU" w:eastAsia="ru-RU" w:bidi="ru-RU"/>
          <w:sz w:val="24"/>
          <w:szCs w:val="24"/>
          <w:w w:val="100"/>
          <w:color w:val="000000"/>
          <w:position w:val="0"/>
        </w:rPr>
        <w:t>днем.</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Положениями ч. 1 ст. 2 Закона о контрактной системе предусмотрено, что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в том числе на положениях Гражданского кодекса Российской Федерации (далее - ГК РФ).</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Статьей 193 ГК РФ установлено, что если последний день срока приходится на нерабочий день, то днем окончания срока считается ближайший следующий за ним рабочий день.</w:t>
      </w:r>
    </w:p>
    <w:p>
      <w:pPr>
        <w:pStyle w:val="Style19"/>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color w:val="000000"/>
          <w:position w:val="0"/>
        </w:rPr>
        <w:t>Ближайшим рабочим днем в данном случае является 07.11.2017.</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Указанные выше изменения были размещены на официальном сайте единой информационной системы в сфере закупок </w:t>
      </w:r>
      <w:r>
        <w:fldChar w:fldCharType="begin"/>
      </w:r>
      <w:r>
        <w:rPr>
          <w:color w:val="000000"/>
        </w:rPr>
        <w:instrText> HYPERLINK "http://zakupki.gov.ru" </w:instrText>
      </w:r>
      <w:r>
        <w:fldChar w:fldCharType="separate"/>
      </w:r>
      <w:r>
        <w:rPr>
          <w:rStyle w:val="Hyperlink"/>
          <w:lang w:val="en-US" w:eastAsia="en-US" w:bidi="en-US"/>
          <w:sz w:val="24"/>
          <w:szCs w:val="24"/>
          <w:w w:val="100"/>
          <w:position w:val="0"/>
        </w:rPr>
        <w:t>http://zakupki.gov.ru</w:t>
      </w:r>
      <w:r>
        <w:fldChar w:fldCharType="end"/>
      </w:r>
      <w:r>
        <w:rPr>
          <w:lang w:val="en-US" w:eastAsia="en-US" w:bidi="en-US"/>
          <w:sz w:val="24"/>
          <w:szCs w:val="24"/>
          <w:w w:val="100"/>
          <w:color w:val="000000"/>
          <w:position w:val="0"/>
        </w:rPr>
        <w:t xml:space="preserve"> </w:t>
      </w:r>
      <w:r>
        <w:rPr>
          <w:lang w:val="ru-RU" w:eastAsia="ru-RU" w:bidi="ru-RU"/>
          <w:sz w:val="24"/>
          <w:szCs w:val="24"/>
          <w:w w:val="100"/>
          <w:color w:val="000000"/>
          <w:position w:val="0"/>
        </w:rPr>
        <w:t>20.10.2017.</w:t>
      </w:r>
    </w:p>
    <w:p>
      <w:pPr>
        <w:pStyle w:val="Style19"/>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Во исполнение в совокупности норм Закона о контрактной системе, а также ГК РФ надлежащий минимальный срок окончания подачи заявок должен был быть 07.11.2017.</w:t>
      </w:r>
    </w:p>
    <w:p>
      <w:pPr>
        <w:pStyle w:val="Style19"/>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Таким образом, в действиях заказчика установлено нарушение ч. 6 ст. 63 Закона о контрактной системе.</w:t>
      </w:r>
    </w:p>
    <w:p>
      <w:pPr>
        <w:pStyle w:val="Style19"/>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Вместе с тем, Комиссией Липецкого УФАС России установлено, что выявленное нарушение ч. 6 ст. 63 Закона о контрактной системе не может повлиять на результат электронного аукциона, поскольку общий срок подачи заявок составил пятнадцать дней с учётом выходных и праздничного дней, а заявки подаются на электронной площадке, которая обеспечивает возможность подачи заявок круглосуточно, в том числе в выходные и праздничные дни.</w:t>
      </w:r>
    </w:p>
    <w:p>
      <w:pPr>
        <w:pStyle w:val="Style19"/>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Установленные нарушения Закона о контрактной системе содержат признаки административного правонарушения.</w:t>
      </w:r>
    </w:p>
    <w:p>
      <w:pPr>
        <w:pStyle w:val="Style19"/>
        <w:widowControl w:val="0"/>
        <w:keepNext w:val="0"/>
        <w:keepLines w:val="0"/>
        <w:shd w:val="clear" w:color="auto" w:fill="auto"/>
        <w:bidi w:val="0"/>
        <w:jc w:val="both"/>
        <w:spacing w:before="0" w:after="321" w:line="322" w:lineRule="exact"/>
        <w:ind w:left="20" w:right="20" w:firstLine="700"/>
      </w:pPr>
      <w:r>
        <w:rPr>
          <w:lang w:val="ru-RU" w:eastAsia="ru-RU" w:bidi="ru-RU"/>
          <w:sz w:val="24"/>
          <w:szCs w:val="24"/>
          <w:w w:val="100"/>
          <w:color w:val="000000"/>
          <w:position w:val="0"/>
        </w:rPr>
        <w:t>Руководствуясь ст. 99, ч. 8 ст.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Комиссия</w:t>
      </w:r>
    </w:p>
    <w:p>
      <w:pPr>
        <w:pStyle w:val="Style26"/>
        <w:widowControl w:val="0"/>
        <w:keepNext/>
        <w:keepLines/>
        <w:shd w:val="clear" w:color="auto" w:fill="auto"/>
        <w:bidi w:val="0"/>
        <w:spacing w:before="0" w:after="315" w:line="220" w:lineRule="exact"/>
        <w:ind w:left="0" w:right="0" w:firstLine="0"/>
      </w:pPr>
      <w:bookmarkStart w:id="1" w:name="bookmark1"/>
      <w:r>
        <w:rPr>
          <w:lang w:val="ru-RU" w:eastAsia="ru-RU" w:bidi="ru-RU"/>
          <w:w w:val="100"/>
          <w:color w:val="000000"/>
          <w:position w:val="0"/>
        </w:rPr>
        <w:t>РЕШИЛА:</w:t>
      </w:r>
      <w:bookmarkEnd w:id="1"/>
    </w:p>
    <w:p>
      <w:pPr>
        <w:pStyle w:val="Style19"/>
        <w:numPr>
          <w:ilvl w:val="0"/>
          <w:numId w:val="9"/>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Признать жалобу ООО «Артель» на положения документации об электронном аукционе на выполнение работ по ремонту спального корпуса № 1 (реестровый номер 0346200006617000025) необоснованной.</w:t>
      </w:r>
    </w:p>
    <w:p>
      <w:pPr>
        <w:pStyle w:val="Style19"/>
        <w:numPr>
          <w:ilvl w:val="0"/>
          <w:numId w:val="9"/>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Признать в действиях заказчика нарушения п. 2 ч. 1 ст. 64, ч. 6 ст. 63 Закона о контрактной системе и нарушение ч. 5 ст. 67 Закона о контрактной системе в действиях единой комиссии.</w:t>
      </w:r>
    </w:p>
    <w:p>
      <w:pPr>
        <w:pStyle w:val="Style19"/>
        <w:numPr>
          <w:ilvl w:val="0"/>
          <w:numId w:val="9"/>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Выдать предписание об устранении выявленных нарушений Закона о контрактной системе.</w:t>
      </w:r>
    </w:p>
    <w:p>
      <w:pPr>
        <w:pStyle w:val="Style19"/>
        <w:numPr>
          <w:ilvl w:val="0"/>
          <w:numId w:val="9"/>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Передать материалы рассмотрения жалобы должностному лицу Липецкого УФАС России для рассмотрения вопроса о возбуждении дела об административном правонарушении.</w:t>
      </w:r>
    </w:p>
    <w:p>
      <w:pPr>
        <w:pStyle w:val="Style19"/>
        <w:widowControl w:val="0"/>
        <w:keepNext w:val="0"/>
        <w:keepLines w:val="0"/>
        <w:shd w:val="clear" w:color="auto" w:fill="auto"/>
        <w:bidi w:val="0"/>
        <w:jc w:val="both"/>
        <w:spacing w:before="0" w:after="0" w:line="326" w:lineRule="exact"/>
        <w:ind w:left="20" w:right="20" w:firstLine="700"/>
      </w:pPr>
      <w:r>
        <w:rPr>
          <w:lang w:val="ru-RU" w:eastAsia="ru-RU" w:bidi="ru-RU"/>
          <w:sz w:val="24"/>
          <w:szCs w:val="24"/>
          <w:w w:val="100"/>
          <w:color w:val="000000"/>
          <w:position w:val="0"/>
        </w:rPr>
        <w:t>Решение может быть обжаловано в арбитражный суд в течение трех месяцев со дня его вынесения.</w:t>
      </w:r>
    </w:p>
    <w:p>
      <w:pPr>
        <w:pStyle w:val="Style19"/>
        <w:widowControl w:val="0"/>
        <w:keepNext w:val="0"/>
        <w:keepLines w:val="0"/>
        <w:shd w:val="clear" w:color="auto" w:fill="auto"/>
        <w:bidi w:val="0"/>
        <w:jc w:val="left"/>
        <w:spacing w:before="0" w:after="0" w:line="634" w:lineRule="exact"/>
        <w:ind w:left="20" w:right="0" w:firstLine="0"/>
      </w:pPr>
      <w:r>
        <w:rPr>
          <w:lang w:val="ru-RU" w:eastAsia="ru-RU" w:bidi="ru-RU"/>
          <w:sz w:val="24"/>
          <w:szCs w:val="24"/>
          <w:w w:val="100"/>
          <w:color w:val="000000"/>
          <w:position w:val="0"/>
        </w:rPr>
        <w:t>Председатель Комиссии:</w:t>
      </w:r>
    </w:p>
    <w:p>
      <w:pPr>
        <w:pStyle w:val="Style19"/>
        <w:widowControl w:val="0"/>
        <w:keepNext w:val="0"/>
        <w:keepLines w:val="0"/>
        <w:shd w:val="clear" w:color="auto" w:fill="auto"/>
        <w:bidi w:val="0"/>
        <w:jc w:val="left"/>
        <w:spacing w:before="0" w:after="0" w:line="634" w:lineRule="exact"/>
        <w:ind w:left="20" w:right="0" w:firstLine="0"/>
      </w:pPr>
      <w:r>
        <w:rPr>
          <w:lang w:val="ru-RU" w:eastAsia="ru-RU" w:bidi="ru-RU"/>
          <w:sz w:val="24"/>
          <w:szCs w:val="24"/>
          <w:w w:val="100"/>
          <w:color w:val="000000"/>
          <w:position w:val="0"/>
        </w:rPr>
        <w:t>Заместитель председателя Комиссии:</w:t>
      </w:r>
    </w:p>
    <w:p>
      <w:pPr>
        <w:pStyle w:val="Style19"/>
        <w:widowControl w:val="0"/>
        <w:keepNext w:val="0"/>
        <w:keepLines w:val="0"/>
        <w:shd w:val="clear" w:color="auto" w:fill="auto"/>
        <w:bidi w:val="0"/>
        <w:jc w:val="left"/>
        <w:spacing w:before="0" w:after="0" w:line="634" w:lineRule="exact"/>
        <w:ind w:left="20" w:right="0" w:firstLine="0"/>
      </w:pPr>
      <w:r>
        <w:rPr>
          <w:lang w:val="ru-RU" w:eastAsia="ru-RU" w:bidi="ru-RU"/>
          <w:sz w:val="24"/>
          <w:szCs w:val="24"/>
          <w:w w:val="100"/>
          <w:color w:val="000000"/>
          <w:position w:val="0"/>
        </w:rPr>
        <w:t>Член Комиссии</w:t>
      </w:r>
    </w:p>
    <w:sectPr>
      <w:footnotePr>
        <w:pos w:val="pageBottom"/>
        <w:numFmt w:val="decimal"/>
        <w:numRestart w:val="continuous"/>
      </w:footnotePr>
      <w:type w:val="continuous"/>
      <w:pgSz w:w="11906" w:h="16838"/>
      <w:pgMar w:top="883" w:left="836" w:right="836" w:bottom="777" w:header="0" w:footer="3" w:gutter="226"/>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link w:val="Style3"/>
    <w:rPr>
      <w:b w:val="0"/>
      <w:bCs w:val="0"/>
      <w:i w:val="0"/>
      <w:iCs w:val="0"/>
      <w:u w:val="none"/>
      <w:strike w:val="0"/>
      <w:smallCaps w:val="0"/>
      <w:sz w:val="20"/>
      <w:szCs w:val="20"/>
      <w:rFonts w:ascii="Times New Roman" w:eastAsia="Times New Roman" w:hAnsi="Times New Roman" w:cs="Times New Roman"/>
      <w:spacing w:val="10"/>
    </w:rPr>
  </w:style>
  <w:style w:type="character" w:customStyle="1" w:styleId="CharStyle5">
    <w:name w:val="Основной текст (2) + Интервал 0 pt Exact"/>
    <w:basedOn w:val="CharStyle4"/>
    <w:rPr>
      <w:lang w:val="ru-RU" w:eastAsia="ru-RU" w:bidi="ru-RU"/>
      <w:w w:val="100"/>
      <w:spacing w:val="-11"/>
      <w:color w:val="000000"/>
      <w:position w:val="0"/>
    </w:rPr>
  </w:style>
  <w:style w:type="character" w:customStyle="1" w:styleId="CharStyle7">
    <w:name w:val="Основной текст (3) Exact"/>
    <w:basedOn w:val="DefaultParagraphFont"/>
    <w:link w:val="Style6"/>
    <w:rPr>
      <w:b w:val="0"/>
      <w:bCs w:val="0"/>
      <w:i w:val="0"/>
      <w:iCs w:val="0"/>
      <w:u w:val="none"/>
      <w:strike w:val="0"/>
      <w:smallCaps w:val="0"/>
      <w:sz w:val="14"/>
      <w:szCs w:val="14"/>
      <w:rFonts w:ascii="Times New Roman" w:eastAsia="Times New Roman" w:hAnsi="Times New Roman" w:cs="Times New Roman"/>
      <w:spacing w:val="6"/>
    </w:rPr>
  </w:style>
  <w:style w:type="character" w:customStyle="1" w:styleId="CharStyle9">
    <w:name w:val="Основной текст (4) Exact"/>
    <w:basedOn w:val="DefaultParagraphFont"/>
    <w:link w:val="Style8"/>
    <w:rPr>
      <w:b w:val="0"/>
      <w:bCs w:val="0"/>
      <w:i/>
      <w:iCs/>
      <w:u w:val="none"/>
      <w:strike w:val="0"/>
      <w:smallCaps w:val="0"/>
      <w:rFonts w:ascii="Times New Roman" w:eastAsia="Times New Roman" w:hAnsi="Times New Roman" w:cs="Times New Roman"/>
      <w:spacing w:val="-13"/>
    </w:rPr>
  </w:style>
  <w:style w:type="character" w:customStyle="1" w:styleId="CharStyle10">
    <w:name w:val="Основной текст (4) Exact"/>
    <w:basedOn w:val="CharStyle9"/>
    <w:rPr>
      <w:lang w:val="ru-RU" w:eastAsia="ru-RU" w:bidi="ru-RU"/>
      <w:u w:val="single"/>
      <w:sz w:val="24"/>
      <w:szCs w:val="24"/>
      <w:w w:val="100"/>
      <w:color w:val="000000"/>
      <w:position w:val="0"/>
    </w:rPr>
  </w:style>
  <w:style w:type="character" w:customStyle="1" w:styleId="CharStyle11">
    <w:name w:val="Основной текст (4) + Constantia,9 pt,Не курсив,Интервал 0 pt Exact"/>
    <w:basedOn w:val="CharStyle9"/>
    <w:rPr>
      <w:lang w:val="ru-RU" w:eastAsia="ru-RU" w:bidi="ru-RU"/>
      <w:i/>
      <w:iCs/>
      <w:sz w:val="18"/>
      <w:szCs w:val="18"/>
      <w:rFonts w:ascii="Constantia" w:eastAsia="Constantia" w:hAnsi="Constantia" w:cs="Constantia"/>
      <w:w w:val="100"/>
      <w:spacing w:val="10"/>
      <w:color w:val="000000"/>
      <w:position w:val="0"/>
    </w:rPr>
  </w:style>
  <w:style w:type="character" w:customStyle="1" w:styleId="CharStyle12">
    <w:name w:val="Основной текст (4) + 10 pt,Не курсив,Интервал 0 pt Exact"/>
    <w:basedOn w:val="CharStyle9"/>
    <w:rPr>
      <w:lang w:val="ru-RU" w:eastAsia="ru-RU" w:bidi="ru-RU"/>
      <w:i/>
      <w:iCs/>
      <w:sz w:val="20"/>
      <w:szCs w:val="20"/>
      <w:w w:val="100"/>
      <w:spacing w:val="10"/>
      <w:color w:val="000000"/>
      <w:position w:val="0"/>
    </w:rPr>
  </w:style>
  <w:style w:type="character" w:customStyle="1" w:styleId="CharStyle13">
    <w:name w:val="Основной текст (4) + 11,5 pt,Не курсив,Интервал 0 pt Exact"/>
    <w:basedOn w:val="CharStyle9"/>
    <w:rPr>
      <w:lang w:val="ru-RU" w:eastAsia="ru-RU" w:bidi="ru-RU"/>
      <w:i/>
      <w:iCs/>
      <w:sz w:val="23"/>
      <w:szCs w:val="23"/>
      <w:w w:val="100"/>
      <w:spacing w:val="12"/>
      <w:color w:val="000000"/>
      <w:position w:val="0"/>
    </w:rPr>
  </w:style>
  <w:style w:type="character" w:customStyle="1" w:styleId="CharStyle15">
    <w:name w:val="Основной текст (5) Exact"/>
    <w:basedOn w:val="DefaultParagraphFont"/>
    <w:link w:val="Style14"/>
    <w:rPr>
      <w:b w:val="0"/>
      <w:bCs w:val="0"/>
      <w:i w:val="0"/>
      <w:iCs w:val="0"/>
      <w:u w:val="none"/>
      <w:strike w:val="0"/>
      <w:smallCaps w:val="0"/>
      <w:sz w:val="34"/>
      <w:szCs w:val="34"/>
      <w:rFonts w:ascii="Times New Roman" w:eastAsia="Times New Roman" w:hAnsi="Times New Roman" w:cs="Times New Roman"/>
      <w:spacing w:val="30"/>
    </w:rPr>
  </w:style>
  <w:style w:type="character" w:customStyle="1" w:styleId="CharStyle17">
    <w:name w:val="Заголовок №1_"/>
    <w:basedOn w:val="DefaultParagraphFont"/>
    <w:link w:val="Style16"/>
    <w:rPr>
      <w:lang w:val="en-US" w:eastAsia="en-US" w:bidi="en-US"/>
      <w:b w:val="0"/>
      <w:bCs w:val="0"/>
      <w:i/>
      <w:iCs/>
      <w:u w:val="none"/>
      <w:strike w:val="0"/>
      <w:smallCaps w:val="0"/>
      <w:sz w:val="30"/>
      <w:szCs w:val="30"/>
      <w:rFonts w:ascii="Verdana" w:eastAsia="Verdana" w:hAnsi="Verdana" w:cs="Verdana"/>
      <w:spacing w:val="-20"/>
    </w:rPr>
  </w:style>
  <w:style w:type="character" w:customStyle="1" w:styleId="CharStyle18">
    <w:name w:val="Заголовок №1 + Consolas,4 pt,Не курсив,Интервал 0 pt"/>
    <w:basedOn w:val="CharStyle17"/>
    <w:rPr>
      <w:i/>
      <w:iCs/>
      <w:sz w:val="8"/>
      <w:szCs w:val="8"/>
      <w:rFonts w:ascii="Consolas" w:eastAsia="Consolas" w:hAnsi="Consolas" w:cs="Consolas"/>
      <w:w w:val="100"/>
      <w:spacing w:val="0"/>
      <w:color w:val="000000"/>
      <w:position w:val="0"/>
    </w:rPr>
  </w:style>
  <w:style w:type="character" w:customStyle="1" w:styleId="CharStyle20">
    <w:name w:val="Основной текст_"/>
    <w:basedOn w:val="DefaultParagraphFont"/>
    <w:link w:val="Style19"/>
    <w:rPr>
      <w:b w:val="0"/>
      <w:bCs w:val="0"/>
      <w:i w:val="0"/>
      <w:iCs w:val="0"/>
      <w:u w:val="none"/>
      <w:strike w:val="0"/>
      <w:smallCaps w:val="0"/>
      <w:rFonts w:ascii="Times New Roman" w:eastAsia="Times New Roman" w:hAnsi="Times New Roman" w:cs="Times New Roman"/>
      <w:spacing w:val="10"/>
    </w:rPr>
  </w:style>
  <w:style w:type="character" w:customStyle="1" w:styleId="CharStyle21">
    <w:name w:val="Основной текст + Интервал 3 pt"/>
    <w:basedOn w:val="CharStyle20"/>
    <w:rPr>
      <w:lang w:val="ru-RU" w:eastAsia="ru-RU" w:bidi="ru-RU"/>
      <w:sz w:val="24"/>
      <w:szCs w:val="24"/>
      <w:w w:val="100"/>
      <w:spacing w:val="70"/>
      <w:color w:val="000000"/>
      <w:position w:val="0"/>
    </w:rPr>
  </w:style>
  <w:style w:type="character" w:customStyle="1" w:styleId="CharStyle22">
    <w:name w:val="Основной текст"/>
    <w:basedOn w:val="CharStyle20"/>
    <w:rPr>
      <w:lang w:val="ru-RU" w:eastAsia="ru-RU" w:bidi="ru-RU"/>
      <w:u w:val="single"/>
      <w:sz w:val="24"/>
      <w:szCs w:val="24"/>
      <w:w w:val="100"/>
      <w:color w:val="000000"/>
      <w:position w:val="0"/>
    </w:rPr>
  </w:style>
  <w:style w:type="character" w:customStyle="1" w:styleId="CharStyle23">
    <w:name w:val="Основной текст"/>
    <w:basedOn w:val="CharStyle20"/>
    <w:rPr>
      <w:lang w:val="en-US" w:eastAsia="en-US" w:bidi="en-US"/>
      <w:sz w:val="24"/>
      <w:szCs w:val="24"/>
      <w:w w:val="100"/>
      <w:color w:val="000000"/>
      <w:position w:val="0"/>
    </w:rPr>
  </w:style>
  <w:style w:type="character" w:customStyle="1" w:styleId="CharStyle24">
    <w:name w:val="Основной текст + Курсив,Интервал 0 pt"/>
    <w:basedOn w:val="CharStyle20"/>
    <w:rPr>
      <w:lang w:val="ru-RU" w:eastAsia="ru-RU" w:bidi="ru-RU"/>
      <w:i/>
      <w:iCs/>
      <w:sz w:val="24"/>
      <w:szCs w:val="24"/>
      <w:w w:val="100"/>
      <w:spacing w:val="0"/>
      <w:color w:val="000000"/>
      <w:position w:val="0"/>
    </w:rPr>
  </w:style>
  <w:style w:type="character" w:customStyle="1" w:styleId="CharStyle25">
    <w:name w:val="Основной текст + 15 pt,Масштаб 80%"/>
    <w:basedOn w:val="CharStyle20"/>
    <w:rPr>
      <w:lang w:val="ru-RU" w:eastAsia="ru-RU" w:bidi="ru-RU"/>
      <w:sz w:val="30"/>
      <w:szCs w:val="30"/>
      <w:w w:val="80"/>
      <w:color w:val="000000"/>
      <w:position w:val="0"/>
    </w:rPr>
  </w:style>
  <w:style w:type="character" w:customStyle="1" w:styleId="CharStyle27">
    <w:name w:val="Заголовок №2_"/>
    <w:basedOn w:val="DefaultParagraphFont"/>
    <w:link w:val="Style26"/>
    <w:rPr>
      <w:b w:val="0"/>
      <w:bCs w:val="0"/>
      <w:i w:val="0"/>
      <w:iCs w:val="0"/>
      <w:u w:val="none"/>
      <w:strike w:val="0"/>
      <w:smallCaps w:val="0"/>
      <w:sz w:val="22"/>
      <w:szCs w:val="22"/>
      <w:rFonts w:ascii="Times New Roman" w:eastAsia="Times New Roman" w:hAnsi="Times New Roman" w:cs="Times New Roman"/>
      <w:spacing w:val="60"/>
    </w:rPr>
  </w:style>
  <w:style w:type="paragraph" w:customStyle="1" w:styleId="Style3">
    <w:name w:val="Основной текст (2)"/>
    <w:basedOn w:val="Normal"/>
    <w:link w:val="CharStyle4"/>
    <w:pPr>
      <w:widowControl w:val="0"/>
      <w:shd w:val="clear" w:color="auto" w:fill="FFFFFF"/>
      <w:jc w:val="center"/>
      <w:spacing w:line="226" w:lineRule="exact"/>
    </w:pPr>
    <w:rPr>
      <w:b w:val="0"/>
      <w:bCs w:val="0"/>
      <w:i w:val="0"/>
      <w:iCs w:val="0"/>
      <w:u w:val="none"/>
      <w:strike w:val="0"/>
      <w:smallCaps w:val="0"/>
      <w:sz w:val="20"/>
      <w:szCs w:val="20"/>
      <w:rFonts w:ascii="Times New Roman" w:eastAsia="Times New Roman" w:hAnsi="Times New Roman" w:cs="Times New Roman"/>
      <w:spacing w:val="10"/>
    </w:rPr>
  </w:style>
  <w:style w:type="paragraph" w:customStyle="1" w:styleId="Style6">
    <w:name w:val="Основной текст (3)"/>
    <w:basedOn w:val="Normal"/>
    <w:link w:val="CharStyle7"/>
    <w:pPr>
      <w:widowControl w:val="0"/>
      <w:shd w:val="clear" w:color="auto" w:fill="FFFFFF"/>
      <w:jc w:val="center"/>
      <w:spacing w:line="202" w:lineRule="exact"/>
    </w:pPr>
    <w:rPr>
      <w:b w:val="0"/>
      <w:bCs w:val="0"/>
      <w:i w:val="0"/>
      <w:iCs w:val="0"/>
      <w:u w:val="none"/>
      <w:strike w:val="0"/>
      <w:smallCaps w:val="0"/>
      <w:sz w:val="14"/>
      <w:szCs w:val="14"/>
      <w:rFonts w:ascii="Times New Roman" w:eastAsia="Times New Roman" w:hAnsi="Times New Roman" w:cs="Times New Roman"/>
      <w:spacing w:val="6"/>
    </w:rPr>
  </w:style>
  <w:style w:type="paragraph" w:customStyle="1" w:styleId="Style8">
    <w:name w:val="Основной текст (4)"/>
    <w:basedOn w:val="Normal"/>
    <w:link w:val="CharStyle9"/>
    <w:pPr>
      <w:widowControl w:val="0"/>
      <w:shd w:val="clear" w:color="auto" w:fill="FFFFFF"/>
      <w:spacing w:line="552" w:lineRule="exact"/>
      <w:ind w:firstLine="200"/>
    </w:pPr>
    <w:rPr>
      <w:b w:val="0"/>
      <w:bCs w:val="0"/>
      <w:i/>
      <w:iCs/>
      <w:u w:val="none"/>
      <w:strike w:val="0"/>
      <w:smallCaps w:val="0"/>
      <w:rFonts w:ascii="Times New Roman" w:eastAsia="Times New Roman" w:hAnsi="Times New Roman" w:cs="Times New Roman"/>
      <w:spacing w:val="-13"/>
    </w:rPr>
  </w:style>
  <w:style w:type="paragraph" w:customStyle="1" w:styleId="Style14">
    <w:name w:val="Основной текст (5)"/>
    <w:basedOn w:val="Normal"/>
    <w:link w:val="CharStyle15"/>
    <w:pPr>
      <w:widowControl w:val="0"/>
      <w:shd w:val="clear" w:color="auto" w:fill="FFFFFF"/>
      <w:spacing w:line="0" w:lineRule="exact"/>
    </w:pPr>
    <w:rPr>
      <w:b w:val="0"/>
      <w:bCs w:val="0"/>
      <w:i w:val="0"/>
      <w:iCs w:val="0"/>
      <w:u w:val="none"/>
      <w:strike w:val="0"/>
      <w:smallCaps w:val="0"/>
      <w:sz w:val="34"/>
      <w:szCs w:val="34"/>
      <w:rFonts w:ascii="Times New Roman" w:eastAsia="Times New Roman" w:hAnsi="Times New Roman" w:cs="Times New Roman"/>
      <w:spacing w:val="30"/>
    </w:rPr>
  </w:style>
  <w:style w:type="paragraph" w:customStyle="1" w:styleId="Style16">
    <w:name w:val="Заголовок №1"/>
    <w:basedOn w:val="Normal"/>
    <w:link w:val="CharStyle17"/>
    <w:pPr>
      <w:widowControl w:val="0"/>
      <w:shd w:val="clear" w:color="auto" w:fill="FFFFFF"/>
      <w:outlineLvl w:val="0"/>
      <w:spacing w:after="60" w:line="293" w:lineRule="exact"/>
      <w:ind w:firstLine="1400"/>
    </w:pPr>
    <w:rPr>
      <w:lang w:val="en-US" w:eastAsia="en-US" w:bidi="en-US"/>
      <w:b w:val="0"/>
      <w:bCs w:val="0"/>
      <w:i/>
      <w:iCs/>
      <w:u w:val="none"/>
      <w:strike w:val="0"/>
      <w:smallCaps w:val="0"/>
      <w:sz w:val="30"/>
      <w:szCs w:val="30"/>
      <w:rFonts w:ascii="Verdana" w:eastAsia="Verdana" w:hAnsi="Verdana" w:cs="Verdana"/>
      <w:spacing w:val="-20"/>
    </w:rPr>
  </w:style>
  <w:style w:type="paragraph" w:customStyle="1" w:styleId="Style19">
    <w:name w:val="Основной текст"/>
    <w:basedOn w:val="Normal"/>
    <w:link w:val="CharStyle20"/>
    <w:pPr>
      <w:widowControl w:val="0"/>
      <w:shd w:val="clear" w:color="auto" w:fill="FFFFFF"/>
      <w:spacing w:before="60" w:after="720" w:line="0"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26">
    <w:name w:val="Заголовок №2"/>
    <w:basedOn w:val="Normal"/>
    <w:link w:val="CharStyle27"/>
    <w:pPr>
      <w:widowControl w:val="0"/>
      <w:shd w:val="clear" w:color="auto" w:fill="FFFFFF"/>
      <w:jc w:val="center"/>
      <w:outlineLvl w:val="1"/>
      <w:spacing w:before="240" w:after="420" w:line="0" w:lineRule="exact"/>
    </w:pPr>
    <w:rPr>
      <w:b w:val="0"/>
      <w:bCs w:val="0"/>
      <w:i w:val="0"/>
      <w:iCs w:val="0"/>
      <w:u w:val="none"/>
      <w:strike w:val="0"/>
      <w:smallCaps w:val="0"/>
      <w:sz w:val="22"/>
      <w:szCs w:val="22"/>
      <w:rFonts w:ascii="Times New Roman" w:eastAsia="Times New Roman" w:hAnsi="Times New Roman" w:cs="Times New Roman"/>
      <w:spacing w:val="6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