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0" w:after="0"/>
        <w:ind w:left="18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«ЦЕНТР ПОСТАВОК ПРОФИТ»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14"/>
        <w:ind w:left="180" w:right="0" w:firstLine="0"/>
      </w:pPr>
      <w:r>
        <w:rPr>
          <w:rStyle w:val="CharStyle7"/>
        </w:rPr>
        <w:t xml:space="preserve">ОГРН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1172375032785, </w:t>
      </w:r>
      <w:r>
        <w:rPr>
          <w:rStyle w:val="CharStyle7"/>
        </w:rPr>
        <w:t xml:space="preserve">ИНН/КПП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2320248131/232001001 </w:t>
      </w:r>
      <w:r>
        <w:rPr>
          <w:rStyle w:val="CharStyle7"/>
        </w:rPr>
        <w:t xml:space="preserve">Юр. 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354000 </w:t>
      </w:r>
      <w:r>
        <w:rPr>
          <w:rStyle w:val="CharStyle7"/>
        </w:rPr>
        <w:t xml:space="preserve">г. Сочи ул. Навагинская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9Д </w:t>
      </w:r>
      <w:r>
        <w:rPr>
          <w:rStyle w:val="CharStyle7"/>
        </w:rPr>
        <w:t xml:space="preserve">оф.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420 </w:t>
      </w:r>
      <w:r>
        <w:rPr>
          <w:rStyle w:val="CharStyle7"/>
        </w:rPr>
        <w:t xml:space="preserve">Факт, 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354000 </w:t>
      </w:r>
      <w:r>
        <w:rPr>
          <w:rStyle w:val="CharStyle7"/>
        </w:rPr>
        <w:t xml:space="preserve">г. Сочи ул. Навагинская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9Д </w:t>
      </w:r>
      <w:r>
        <w:rPr>
          <w:rStyle w:val="CharStyle7"/>
        </w:rPr>
        <w:t xml:space="preserve">оф.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420 </w:t>
      </w:r>
      <w:r>
        <w:rPr>
          <w:rStyle w:val="CharStyle7"/>
        </w:rPr>
        <w:t xml:space="preserve">тел.: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89667700387, </w:t>
      </w:r>
      <w:r>
        <w:fldChar w:fldCharType="begin"/>
      </w:r>
      <w:r>
        <w:rPr>
          <w:rStyle w:val="CharStyle8"/>
        </w:rPr>
        <w:instrText> HYPERLINK "mailto:fas@profitp.su" </w:instrText>
      </w:r>
      <w:r>
        <w:fldChar w:fldCharType="separate"/>
      </w:r>
      <w:r>
        <w:rPr>
          <w:rStyle w:val="Hyperlink"/>
          <w:lang w:val="en-US" w:eastAsia="en-US" w:bidi="en-US"/>
        </w:rPr>
        <w:t>fas@profitp.su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9"/>
        </w:rPr>
        <w:t xml:space="preserve">Банк: АО "ТИНЬКОФФ БАНК"; р/с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40702810910000118910; </w:t>
      </w:r>
      <w:r>
        <w:rPr>
          <w:rStyle w:val="CharStyle9"/>
        </w:rPr>
        <w:t xml:space="preserve">БИК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044525974</w:t>
      </w:r>
    </w:p>
    <w:p>
      <w:pPr>
        <w:pStyle w:val="Style10"/>
        <w:tabs>
          <w:tab w:leader="none" w:pos="6695" w:val="center"/>
          <w:tab w:leader="none" w:pos="6639" w:val="center"/>
          <w:tab w:leader="none" w:pos="7396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40" w:right="0" w:firstLine="0"/>
      </w:pPr>
      <w:r>
        <w:rPr>
          <w:rStyle w:val="CharStyle12"/>
          <w:i w:val="0"/>
          <w:iCs w:val="0"/>
        </w:rPr>
        <w:t xml:space="preserve">Исх. </w:t>
      </w:r>
      <w:r>
        <w:rPr>
          <w:rStyle w:val="CharStyle13"/>
          <w:i w:val="0"/>
          <w:iCs w:val="0"/>
        </w:rPr>
        <w:t>№ К</w:t>
      </w:r>
      <w:r>
        <w:rPr>
          <w:rStyle w:val="CharStyle14"/>
          <w:i w:val="0"/>
          <w:iCs w:val="0"/>
        </w:rPr>
        <w:t>1</w:t>
      </w:r>
      <w:r>
        <w:rPr>
          <w:rStyle w:val="CharStyle15"/>
          <w:i w:val="0"/>
          <w:iCs w:val="0"/>
        </w:rPr>
        <w:t>073</w:t>
      </w:r>
      <w:r>
        <w:rPr>
          <w:rStyle w:val="CharStyle16"/>
          <w:i w:val="0"/>
          <w:iCs w:val="0"/>
        </w:rPr>
        <w:t xml:space="preserve"> </w:t>
      </w:r>
      <w:r>
        <w:rPr>
          <w:rStyle w:val="CharStyle12"/>
          <w:i w:val="0"/>
          <w:iCs w:val="0"/>
        </w:rPr>
        <w:t xml:space="preserve">от </w:t>
      </w:r>
      <w:r>
        <w:rPr>
          <w:rStyle w:val="CharStyle15"/>
          <w:i w:val="0"/>
          <w:iCs w:val="0"/>
        </w:rPr>
        <w:t>3</w:t>
      </w:r>
      <w:r>
        <w:rPr>
          <w:rStyle w:val="CharStyle13"/>
          <w:i w:val="0"/>
          <w:iCs w:val="0"/>
        </w:rPr>
        <w:t>1.</w:t>
      </w:r>
      <w:r>
        <w:rPr>
          <w:rStyle w:val="CharStyle14"/>
          <w:i w:val="0"/>
          <w:iCs w:val="0"/>
        </w:rPr>
        <w:t>1</w:t>
      </w:r>
      <w:r>
        <w:rPr>
          <w:rStyle w:val="CharStyle15"/>
          <w:i w:val="0"/>
          <w:iCs w:val="0"/>
        </w:rPr>
        <w:t>0.20</w:t>
      </w:r>
      <w:r>
        <w:rPr>
          <w:rStyle w:val="CharStyle14"/>
          <w:i w:val="0"/>
          <w:iCs w:val="0"/>
        </w:rPr>
        <w:t>1</w:t>
      </w:r>
      <w:r>
        <w:rPr>
          <w:rStyle w:val="CharStyle15"/>
          <w:i w:val="0"/>
          <w:iCs w:val="0"/>
        </w:rPr>
        <w:t>7</w:t>
      </w:r>
      <w:r>
        <w:rPr>
          <w:rStyle w:val="CharStyle16"/>
          <w:i w:val="0"/>
          <w:iCs w:val="0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</w:t>
        <w:tab/>
        <w:t>Управления</w:t>
        <w:tab/>
        <w:t>Федеральной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77"/>
        <w:ind w:left="40" w:right="540" w:firstLine="0"/>
      </w:pPr>
      <w:r>
        <w:rPr>
          <w:rStyle w:val="CharStyle19"/>
        </w:rPr>
        <w:t xml:space="preserve">Антимонопольной службы по Кабардино- Балкарской республике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8(8662)40-95-83, Факс: 8(8662)40-92-82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0"/>
        </w:rPr>
        <w:instrText> HYPERLINK "mailto:to07@fas.aov.ru" </w:instrText>
      </w:r>
      <w:r>
        <w:fldChar w:fldCharType="separate"/>
      </w:r>
      <w:r>
        <w:rPr>
          <w:rStyle w:val="Hyperlink"/>
        </w:rPr>
        <w:t>to07@fas.aov.ru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0" w:line="252" w:lineRule="exact"/>
        <w:ind w:left="40" w:right="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Заявитель: ООО «Центр поставок Профит» 354000 г. Сочи, ул. Навагинская, 9Д, оф. 420 тел. 89667700387 </w:t>
      </w:r>
      <w:r>
        <w:fldChar w:fldCharType="begin"/>
      </w:r>
      <w:r>
        <w:rPr>
          <w:color w:val="000000"/>
        </w:rPr>
        <w:instrText> HYPERLINK "mailto:fas@profitp.su"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fas@profitp.su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0" w:right="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 МКУ «Управление жилищно- коммунального хозяйства и благоустройства - служба заказчика» Местной администрации г.</w:t>
      </w:r>
    </w:p>
    <w:p>
      <w:pPr>
        <w:pStyle w:val="Style5"/>
        <w:tabs>
          <w:tab w:leader="none" w:pos="3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о.</w:t>
        <w:tab/>
        <w:t>Нальчик»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720" w:right="2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360051, КБР, г. Нальчик, пр. Шогенцукова, 17,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0" w:line="252" w:lineRule="exact"/>
        <w:ind w:left="4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Гучапшев Т.Х, тел.8 (8662) 425217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720" w:right="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МЕСТНАЯ АДМИНИСТРАЦИЯ ГОРОДСКОГО ОКРУГА НАЛЬЧИК Российская Федерация, 360000, Кабардино- Балкарская Респ, Нальчик г, УЛ КЕШОКОВА,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70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720" w:right="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Ответственное должностное лицо Бавоков Валерий Борисович Адрес электронной почты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Zakupki- </w:t>
      </w:r>
      <w:r>
        <w:fldChar w:fldCharType="begin"/>
      </w:r>
      <w:r>
        <w:rPr>
          <w:color w:val="000000"/>
        </w:rPr>
        <w:instrText> HYPERLINK "mailto:nalchik@mail.ru"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nalchik@mail.ru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77" w:line="252" w:lineRule="exact"/>
        <w:ind w:left="4720" w:right="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Номер контактного телефона 7-8662-422365 Адрес электронной площадки в информационно-телекоммуникационной сети "Интернет" </w:t>
      </w:r>
      <w:r>
        <w:fldChar w:fldCharType="begin"/>
      </w:r>
      <w:r>
        <w:rPr>
          <w:rStyle w:val="CharStyle8"/>
        </w:rPr>
        <w:instrText> HYPERLINK "http://roseltorg.ru" </w:instrText>
      </w:r>
      <w:r>
        <w:fldChar w:fldCharType="separate"/>
      </w:r>
      <w:r>
        <w:rPr>
          <w:rStyle w:val="Hyperlink"/>
          <w:lang w:val="en-US" w:eastAsia="en-US" w:bidi="en-US"/>
        </w:rPr>
        <w:t>http://roseltorg.ru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6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6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действия /бездействия Заказчика, уполномоченного органа, комиссии по осуществлению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6" w:line="256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закупок.</w:t>
      </w:r>
    </w:p>
    <w:p>
      <w:pPr>
        <w:pStyle w:val="Style5"/>
        <w:tabs>
          <w:tab w:leader="none" w:pos="3554" w:val="right"/>
          <w:tab w:leader="none" w:pos="4396" w:val="right"/>
          <w:tab w:leader="none" w:pos="5897" w:val="right"/>
          <w:tab w:leader="none" w:pos="6110" w:val="center"/>
          <w:tab w:leader="none" w:pos="6695" w:val="center"/>
          <w:tab w:leader="none" w:pos="8115" w:val="right"/>
          <w:tab w:leader="none" w:pos="826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 закупки</w:t>
        <w:tab/>
        <w:t>Строительство</w:t>
        <w:tab/>
        <w:t>системы</w:t>
        <w:tab/>
        <w:t>водоснабжения</w:t>
        <w:tab/>
        <w:t>г.о.</w:t>
        <w:tab/>
        <w:t>Нальчик</w:t>
        <w:tab/>
        <w:t>(Развитие</w:t>
        <w:tab/>
        <w:t>микрорайона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Дубки)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8" w:lineRule="exact"/>
        <w:ind w:left="40" w:right="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Место, сроки (периоды) и иные условия поставки товара (выполнения работ, оказания услуг): указаны в проекте муниципального контракта (ЧАСТЫУ настоящей документации).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77" w:line="248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6 076 350,00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0" w:right="16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на официальном сайте: </w:t>
      </w:r>
      <w:r>
        <w:fldChar w:fldCharType="begin"/>
      </w:r>
      <w:r>
        <w:rPr>
          <w:rStyle w:val="CharStyle8"/>
        </w:rPr>
        <w:instrText> HYPERLINK "http://zakupki.gov.ru/" </w:instrText>
      </w:r>
      <w:r>
        <w:fldChar w:fldCharType="separate"/>
      </w:r>
      <w:r>
        <w:rPr>
          <w:rStyle w:val="Hyperlink"/>
          <w:lang w:val="en-US" w:eastAsia="en-US" w:bidi="en-US"/>
        </w:rPr>
        <w:t>http://zakupki.gov.ru/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было размещено извещение №0104300014417000245 от 16.10.2017 16:52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759" w:line="248" w:lineRule="exact"/>
        <w:ind w:left="40" w:right="5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«Центр поставок Профит» считает, что аукционная документация составлена с явными нарушениями действующего федерального законодательства в сфере осуществления государственных закупок 44 ФЗ «О контрактной системе в сфере закупок товаров, работ, услуг для обеспечения государственных и муниципальных нужд», и признаками ограничения конкуренции, что нарушает основополагающие принципы ФЗ 44, а именно: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446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ООО «Центр поставок Профит»:</w:t>
      </w:r>
    </w:p>
    <w:p>
      <w:pPr>
        <w:pStyle w:val="Style21"/>
        <w:numPr>
          <w:ilvl w:val="0"/>
          <w:numId w:val="1"/>
        </w:numPr>
        <w:tabs>
          <w:tab w:leader="none" w:pos="110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183"/>
        <w:ind w:left="1100" w:right="260" w:hanging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подготовил документацию о закупке е нарушением ФЗ-44 части 3 статьи 33, чем ограничил возможность участия нас в качестве поставщиков, т.к. для предоставления нами надлежащего предложения и согласия на поставку товара и итогов выполнения работ по заданным критериям, нам необходимо приобрести и испытать всю партию товара заранее.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77" w:line="248" w:lineRule="exact"/>
        <w:ind w:left="40" w:right="560" w:firstLine="0"/>
      </w:pPr>
      <w:r>
        <w:rPr>
          <w:rStyle w:val="CharStyle23"/>
        </w:rPr>
        <w:t xml:space="preserve">При участии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данной закупки, </w:t>
      </w:r>
      <w:r>
        <w:rPr>
          <w:rStyle w:val="CharStyle23"/>
        </w:rPr>
        <w:t xml:space="preserve">мы бы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автоматически </w:t>
      </w:r>
      <w:r>
        <w:rPr>
          <w:rStyle w:val="CharStyle23"/>
        </w:rPr>
        <w:t xml:space="preserve">приняли условия документации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Заказчика, которая выполнена с намеренными нарушениями ФЗ для ограничения числа участников, а, следовательно, ограничивающая конкуренцию и создающая предпосылки для коррупционных схем по продвижению единственного участника по максимальной цене, либо с минимальным падением.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установлены требования </w:t>
      </w:r>
      <w:r>
        <w:rPr>
          <w:rStyle w:val="CharStyle24"/>
          <w:b w:val="0"/>
          <w:bCs w:val="0"/>
        </w:rPr>
        <w:t xml:space="preserve">к компонентам товара и (или) испытаниям товара и (или) показателям, значения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которых становятся известными при испытании определенной партии товара после его производства, </w:t>
      </w:r>
      <w:r>
        <w:rPr>
          <w:rStyle w:val="CharStyle24"/>
          <w:b w:val="0"/>
          <w:bCs w:val="0"/>
        </w:rPr>
        <w:t xml:space="preserve">приводят к ограничению количества участников закупки,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ограничивают возможность участников закупки предоставить надлежащее предложение в составе заявок на участие в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752" w:lineRule="exact"/>
        <w:ind w:left="740" w:right="260" w:hanging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Так, согласно извещению о проведении электронного аукциона, документации об аукционе: </w:t>
      </w:r>
      <w:r>
        <w:rPr>
          <w:rStyle w:val="CharStyle25"/>
        </w:rPr>
        <w:t>Цемент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Полная сумма основных компонентов -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Содержание портлаидцементного клинкера должно составлять не долее 100%;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Доменный или электротермофосфорный гранулированный шлак не более 36%;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Пуццолан не долее 55%;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Известняк не должен быть долее 35%;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Микрокремнезем не долее 55%;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Глиеж или обожженный сланец не должны превышать 55%;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Зола-уноса не долее 55%;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183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Вспомогательные компоненты не долее 5%.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48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Брусья необрезные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219" w:line="248" w:lineRule="exact"/>
        <w:ind w:left="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Гнили Допускается только пестрая ситовая ядровая гниль в виде пятен и полос общей площадью не долее 10</w:t>
      </w:r>
      <w:r>
        <w:rPr>
          <w:rStyle w:val="CharStyle28"/>
          <w:b w:val="0"/>
          <w:bCs w:val="0"/>
          <w:i w:val="0"/>
          <w:iCs w:val="0"/>
        </w:rPr>
        <w:t xml:space="preserve"> %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площади пиломатериала.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Щебень из природного камня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183" w:line="256" w:lineRule="exact"/>
        <w:ind w:left="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Содержание зерен слабых пород не долее 5</w:t>
      </w:r>
      <w:r>
        <w:rPr>
          <w:rStyle w:val="CharStyle28"/>
          <w:b w:val="0"/>
          <w:bCs w:val="0"/>
          <w:i w:val="0"/>
          <w:iCs w:val="0"/>
        </w:rPr>
        <w:t xml:space="preserve"> %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массе Содержание пылевидных и глинистых частиц Не долее 2%&gt; но массе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0" w:right="260" w:firstLine="0"/>
      </w:pPr>
      <w:r>
        <w:rPr>
          <w:rStyle w:val="CharStyle25"/>
        </w:rPr>
        <w:t>Кирпич 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8"/>
        </w:rPr>
        <w:t>например, чтобы наша заявка соответствовала нижеуказанным требованиям, нам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8"/>
        </w:rPr>
        <w:t>необходимо до подачи заявки приобрести партию материала, провести проверку каждой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8"/>
        </w:rPr>
        <w:t>отдельной единицы на соответствие требованиям Заказчика об отсутствии каких-либо дефектов,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8"/>
        </w:rPr>
        <w:t>отбраковать неподходящие, снимать весь этот процесс на видео для подтверждения Заказчику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8"/>
        </w:rPr>
        <w:t>соответствия используемого материала всем его требованиям - именно так видится весь процесс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8"/>
        </w:rPr>
        <w:t>подтверждения требований Заказчика, которые он прямо установил в документации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изделиях допускаются вспучивающиеся включения общей площадью не более 1,0% площади вертикальных граней изделия.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183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Отбитости углов глубиной, отб и/пост и ребер и граней длиной более 15 мм, шт. не более 4; количество трещине не должно превышать 4 шт.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4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Кабель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174" w:line="248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Изоляция жил заземления должна быть двухцветной (зелено-желтой расцветки), при этом один из цветов должен покрывать не менее 30 и не более 70 % поверхности изоляции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Винты самонарезающие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Глубина слоя химико-термической обработки не должна быть более 0,23 мм.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486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Притупление острия буравчика не должно превышать 15 % от диаметра резьбы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177" w:line="248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Аналогичные требования к химическому составу и (или) компонентов товара, и (или) показатели, значения которых становятся известными при испытании определенной партии товара после его производства, установлены по ряду иных позиций с товарами закупочной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0" w:line="25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Требуются </w:t>
      </w:r>
      <w:r>
        <w:rPr>
          <w:rStyle w:val="CharStyle23"/>
        </w:rPr>
        <w:t xml:space="preserve">испытания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партии для определения данных характеристик на каждую партию. Участнику необходимо либо самому обладать лицензией и спецоборудованием для проведения таких испытаний, либо обращаться к специализированным лабораториям, </w:t>
      </w:r>
      <w:r>
        <w:rPr>
          <w:rStyle w:val="CharStyle23"/>
        </w:rPr>
        <w:t xml:space="preserve">предварительно купив партии этих материалов,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чтобы документально подтвердить для Заказчика полное соответствие материала его требованиям. Если же эти характеристики выписаны из технических стандартов, тогда получается задвоение требований: Участник дважды должен подтвердить соответствие - один раз - сертификатом соответствия от производителя, второй раз подтвердить строку с характеристикой материала из технического задания - документом собственных испытаний, поскольку его заявка должна соответствовать каждому требованию Заказчика.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Включение </w:t>
      </w:r>
      <w:r>
        <w:rPr>
          <w:rStyle w:val="CharStyle24"/>
          <w:b w:val="0"/>
          <w:bCs w:val="0"/>
        </w:rPr>
        <w:t xml:space="preserve">заказчиком в Техническое задание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требований </w:t>
      </w:r>
      <w:r>
        <w:rPr>
          <w:rStyle w:val="CharStyle24"/>
          <w:b w:val="0"/>
          <w:bCs w:val="0"/>
        </w:rPr>
        <w:t xml:space="preserve">к товарам, не являющихся объектом закупки,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 результату работ, </w:t>
      </w:r>
      <w:r>
        <w:rPr>
          <w:rStyle w:val="CharStyle24"/>
          <w:b w:val="0"/>
          <w:bCs w:val="0"/>
        </w:rPr>
        <w:t xml:space="preserve">к производителю товара,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 составным частям, к показателям, значения которых становятся известными при испытании определенной партии товара после его производства, является излишним.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6 статьи 66 ФЗ «О контрактной системе» требовать от участника электронного аукциона предоставления иных документов и информации, за исключением предусмотренных частями 3 и 5 указанной статьи документов и информации, не допускается.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20" w:firstLine="0"/>
      </w:pPr>
      <w:r>
        <w:rPr>
          <w:rStyle w:val="CharStyle24"/>
          <w:b w:val="0"/>
          <w:bCs w:val="0"/>
        </w:rPr>
        <w:t xml:space="preserve">Следовательно, при описании характеристик товаров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не соблюдены требования к составу первой части заявки.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3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нарушил часть 6 статьи 66 ФЗ «О контрактной системе».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9" w:line="248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Доказательства того, что у Заказчика не имелось иного способа описания объекта закупки, которое обеспечивало бы более точное и четкое (более объективное) понятие его характеристик, в материалы дела не были представлены.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2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ФАС №17-РЗ-04-17 от 20 января 2017 г. г. Астрахань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0" w:line="25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рамках оказания методической помощи территориальным органам ФАС России, с целью формирования единообразной практики ФАС России направляет территориальным органам для использования в работе информационные письма.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Дополнительно </w:t>
      </w:r>
      <w:r>
        <w:rPr>
          <w:rStyle w:val="CharStyle23"/>
        </w:rPr>
        <w:t xml:space="preserve">ФАС России обращает внимание территориальных органов ФАС России на </w:t>
      </w:r>
      <w:r>
        <w:rPr>
          <w:rStyle w:val="CharStyle29"/>
        </w:rPr>
        <w:t>необходимость учета позиции</w:t>
      </w:r>
      <w:r>
        <w:rPr>
          <w:rStyle w:val="CharStyle23"/>
        </w:rPr>
        <w:t xml:space="preserve">, изложенных в таких письмах, при осуществлении контроля за соблюдением законодательства Российской Федерации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иных нормативных правовых актов о контрактной системе в сфере закупок товаров, работ, услуг для обеспечения государственных и муниципальных нужд, а также на необходимость доведения позиций, изложенных в таких письмах, до сведения всех сотрудников территориальных органов ФАС России.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3" w:line="25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Так, согласно </w:t>
      </w:r>
      <w:r>
        <w:rPr>
          <w:rStyle w:val="CharStyle23"/>
        </w:rPr>
        <w:t xml:space="preserve">Письму ФАС России от 1 июля 2016 года </w:t>
      </w:r>
      <w:r>
        <w:rPr>
          <w:rStyle w:val="CharStyle23"/>
          <w:lang w:val="en-US" w:eastAsia="en-US" w:bidi="en-US"/>
        </w:rPr>
        <w:t xml:space="preserve">N </w:t>
      </w:r>
      <w:r>
        <w:rPr>
          <w:rStyle w:val="CharStyle23"/>
        </w:rPr>
        <w:t xml:space="preserve">ИА/44536/16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ФАС России сообщает территориальным органам ФАС России о необходимости учета позиций, изложенных в настоящем письме, при осуществлении полномочий по контролю в сфере закупок товаров, работ, услуг для государственных и муниципальных нужд, а именно: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77" w:line="248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</w:t>
      </w:r>
      <w:r>
        <w:rPr>
          <w:rStyle w:val="CharStyle23"/>
        </w:rPr>
        <w:t xml:space="preserve">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(или) показатели технологии производства, испытания товара, и (или) </w:t>
      </w:r>
      <w:r>
        <w:rPr>
          <w:rStyle w:val="CharStyle23"/>
        </w:rPr>
        <w:t xml:space="preserve">показатели, значения которых становятся известными при испытании определенной партии товара после его производства,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имеют признаки ограничения доступа к участию в закупке.» (цитата из Письма ФАС России от 1 июля 2016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ИА/44536/16).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Позиции ФАС России также подтверждается решениями ФАС России: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ФАС России от 13 октября 2014 г. по делу К-1474/14 о нарушении законодательства Российской Федерации о контрактной системе в сфере закупок;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ФАС России от 4 февраля 2015 г. по делу № К-94/15 о нарушении законодательства Российской Федерации о контрактной системе в сфере закупок;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ФАС России от 17 августа 2015 г. по делу № К—987/15 о нарушении законодательства Российской Федерации о контрактной системе в сфере закупок;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ФАС России от 24 августа 2015 г. по делу № К-1018/15 о нарушении законодательства Российской Федерации о контрактной системе в сфере закупок;</w:t>
      </w:r>
    </w:p>
    <w:p>
      <w:pPr>
        <w:pStyle w:val="Style5"/>
        <w:tabs>
          <w:tab w:leader="dot" w:pos="5391" w:val="center"/>
          <w:tab w:leader="none" w:pos="58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0" w:line="252" w:lineRule="exact"/>
        <w:ind w:left="20" w:right="0" w:firstLine="0"/>
      </w:pPr>
      <w:r>
        <w:rPr>
          <w:lang w:val="1024"/>
          <w:w w:val="100"/>
          <w:spacing w:val="0"/>
          <w:color w:val="000000"/>
          <w:position w:val="0"/>
        </w:rPr>
        <w:t xml:space="preserve"> </w:t>
      </w:r>
      <w:r>
        <w:rPr>
          <w:rStyle w:val="CharStyle30"/>
        </w:rPr>
        <w:t>-</w:t>
        <w:tab/>
        <w:t>И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т.д.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183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Мы не приняли участие в закупке, чтобы бессмысленно не замораживать деньги на обеспечение заявки, так как мы бы не смогли заполнить заявку достоверными значениями характеристик и нас бы отклонили. Тем самым нам ограничили доступ к участию в данной закупочной процедуре.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0" w:line="248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случае установления Заказчиком требований к описанию участниками закупок в составе заявок химического состава и (или) компонентов товара, показателей, значения которых становятся известными при испытании определенной партии товара после его производства такие действия нарушают требования пункта I части 1 статьи 33, пункта 2 части 1 статьи 64 Федерального закона о контрактной системе.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174" w:line="248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Обращаем внимание комиссии территориального органа ФАС России, с учетом требований ч. 3.35 Раздела III Административного регламента ФАС, а также </w:t>
      </w:r>
      <w:r>
        <w:rPr>
          <w:rStyle w:val="CharStyle31"/>
          <w:b/>
          <w:bCs/>
        </w:rPr>
        <w:t>указаний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изложенных в письме ФАС России от «01» июля 2016 г. ИА/44536/16, </w:t>
      </w:r>
      <w:r>
        <w:rPr>
          <w:rStyle w:val="CharStyle24"/>
          <w:b w:val="0"/>
          <w:bCs w:val="0"/>
        </w:rPr>
        <w:t xml:space="preserve">в результате рассмотрения настоящей жалобы,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целыо формирования единого и четкого подхода в применении норм Федерального закона о контрактной системе, а также недопущения подобных нарушений в дальнейшем, Комиссия </w:t>
      </w:r>
      <w:r>
        <w:rPr>
          <w:rStyle w:val="CharStyle31"/>
          <w:b/>
          <w:bCs/>
        </w:rPr>
        <w:t>обязана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предписание об устранении допущенных нарушений, </w:t>
      </w:r>
      <w:r>
        <w:rPr>
          <w:rStyle w:val="CharStyle24"/>
          <w:b w:val="0"/>
          <w:bCs w:val="0"/>
        </w:rPr>
        <w:t>путем аннулирования торгов, или внесением изменений в документацию о таком аукционе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3" w:line="256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действия Заказчика содержат признаки состава административного правонарушения, предусмотренного частью 4.1 статьи 7.30 Кодекса Российской Федерации об административных правонарушениях (далее — КоАП РФ):</w:t>
      </w:r>
    </w:p>
    <w:p>
      <w:pPr>
        <w:pStyle w:val="Style5"/>
        <w:numPr>
          <w:ilvl w:val="0"/>
          <w:numId w:val="5"/>
        </w:numPr>
        <w:tabs>
          <w:tab w:leader="none" w:pos="47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220" w:firstLine="0"/>
      </w:pPr>
      <w:r>
        <w:rPr>
          <w:rStyle w:val="CharStyle23"/>
        </w:rPr>
        <w:t xml:space="preserve">Включение в описание объекта закупки требований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указаний в отношении товарных знаков, знаков обслуживания, фирменных наименований, патентов, </w:t>
      </w:r>
      <w:r>
        <w:rPr>
          <w:rStyle w:val="CharStyle23"/>
        </w:rPr>
        <w:t xml:space="preserve">полезных моделей, промышленных образцов,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наименования места происхождения товара или наименования производителя, </w:t>
      </w:r>
      <w:r>
        <w:rPr>
          <w:rStyle w:val="CharStyle23"/>
        </w:rPr>
        <w:t xml:space="preserve">требований к товарам, информации, работам, услугам при условии, если такие требования влекут за собой ограничение количества участников закупки,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 исключением случаев, предусмотренных законодательством Российской Федерации 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40" w:right="7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 в сфере закупок, или включение в состав одного лота, объекта закупки товаров, работ, услуг, технологически и функционально не связанных между собой,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8" w:lineRule="exact"/>
        <w:ind w:left="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-влечет наложение административного штрафа на должностных лиц в размере 1 процента начальной (максимальной) цены контракта, но не менее десяти тысяч рублей и не более пятидесяти тысяч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77" w:line="248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(часть 4.1 в ред. Федерального закона от 28.12.2013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396-ФЗ)</w:t>
      </w:r>
    </w:p>
    <w:p>
      <w:pPr>
        <w:pStyle w:val="Style21"/>
        <w:numPr>
          <w:ilvl w:val="0"/>
          <w:numId w:val="1"/>
        </w:numPr>
        <w:tabs>
          <w:tab w:leader="none" w:pos="110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/>
        <w:ind w:left="1100" w:right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нарушены части 4, 5, 8 статьи 34 Закона о контрактной системе - не установлена пеня для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4 статьи 34 Закона о контрактной системе </w:t>
      </w:r>
      <w:r>
        <w:rPr>
          <w:rStyle w:val="CharStyle23"/>
        </w:rPr>
        <w:t xml:space="preserve">в контракт включается обязательное условие об ответственности заказчика и поставщика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(подрядчика, исполнителя) за неисполнение или ненадлежащее исполнение обязательств, предусмотренных контрактом. Согласно частям 5, 8 статьи 34 Закона о контрактной системе штрафы начисляются за ненадлежащее исполнение заказчиком и поставщиком (подрядчиком, исполнителем) обязательств, предусмотренных контрактом, за исключением просрочки исполнения обязательств, предусмотренных контрактом. </w:t>
      </w:r>
      <w:r>
        <w:rPr>
          <w:rStyle w:val="CharStyle23"/>
        </w:rPr>
        <w:t>Размер штрафа, пени устанавливается контрактом в виде фиксированной суммы, определенной в порядке, установленном Правительством Российской Федерации.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0" w:line="252" w:lineRule="exact"/>
        <w:ind w:left="40" w:right="240" w:firstLine="0"/>
      </w:pPr>
      <w:r>
        <w:rPr>
          <w:rStyle w:val="CharStyle8"/>
        </w:rPr>
        <w:t xml:space="preserve">Постановлением Правительства РФ от 30.08.2017 </w:t>
      </w:r>
      <w:r>
        <w:rPr>
          <w:rStyle w:val="CharStyle8"/>
          <w:lang w:val="en-US" w:eastAsia="en-US" w:bidi="en-US"/>
        </w:rPr>
        <w:t xml:space="preserve">N </w:t>
      </w:r>
      <w:r>
        <w:rPr>
          <w:rStyle w:val="CharStyle8"/>
        </w:rPr>
        <w:t>1042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утверждены новые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 (далее — Правила).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4 статьи 64 Закона о контрактной системе к документации об электронном аукционе </w:t>
      </w:r>
      <w:r>
        <w:rPr>
          <w:rStyle w:val="CharStyle23"/>
        </w:rPr>
        <w:t xml:space="preserve">прилагается проект контракта,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который является неотъемлемой частью этой документации. При этом согласно требованиям части 6 статьи 65,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контракта, за исключением необходимости включения в проект контракта, прилагаемый к документации о таком аукционе, цены контракта, предложенной участником электронного аукциона, с которым заключается контракт, информации о товаре (товарном знаке и (или) конкретных показателях товара), указанной в заявке на участие в таком аукционе его участника.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6" w:line="256" w:lineRule="exact"/>
        <w:ind w:left="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требованиям частей 1, 2 статьи 70 Закона о контрактной системе по результатам проведения аукциона заказчик заключает контракте победителем аукциона путем внесения в проект контракта цены, предложенной победителем, и информации о товаре (товарном знаке и (или) конкретных показателях товара), указанной в заявке участника-победителя, т. е. на стадии заключения контракта </w:t>
      </w:r>
      <w:r>
        <w:rPr>
          <w:rStyle w:val="CharStyle23"/>
        </w:rPr>
        <w:t xml:space="preserve">не предусмотрена возможность изменения заказчиком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других </w:t>
      </w:r>
      <w:r>
        <w:rPr>
          <w:rStyle w:val="CharStyle23"/>
        </w:rPr>
        <w:t xml:space="preserve">положений проекта контракта,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кроме указанных, </w:t>
      </w:r>
      <w:r>
        <w:rPr>
          <w:rStyle w:val="CharStyle23"/>
        </w:rPr>
        <w:t xml:space="preserve">по истечении срока для внесения изменений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документацию об электронном аукционе.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8" w:lineRule="exact"/>
        <w:ind w:left="4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 в проекте контракта не установлены пени, начисляемых заказчику за неисполнение или ненадлежащее исполнение обязательств, предусмотренных контрактом.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960" w:line="248" w:lineRule="exact"/>
        <w:ind w:left="4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учетом изложенного, заказчиком нарушены части 4, 5, 8 статьи 34 Закона о контрактной системе.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КоАП РФ, Статья 7.30.</w:t>
      </w:r>
    </w:p>
    <w:p>
      <w:pPr>
        <w:pStyle w:val="Style5"/>
        <w:numPr>
          <w:ilvl w:val="0"/>
          <w:numId w:val="5"/>
        </w:numPr>
        <w:tabs>
          <w:tab w:leader="none" w:pos="53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40" w:right="780" w:firstLine="0"/>
      </w:pPr>
      <w:r>
        <w:rPr>
          <w:rStyle w:val="CharStyle32"/>
        </w:rPr>
        <w:t xml:space="preserve">Утверждение </w:t>
      </w:r>
      <w:r>
        <w:rPr>
          <w:rStyle w:val="CharStyle7"/>
        </w:rPr>
        <w:t xml:space="preserve">конкурсной документации, </w:t>
      </w:r>
      <w:r>
        <w:rPr>
          <w:rStyle w:val="CharStyle32"/>
        </w:rPr>
        <w:t xml:space="preserve">документации </w:t>
      </w:r>
      <w:r>
        <w:rPr>
          <w:rStyle w:val="CharStyle23"/>
        </w:rPr>
        <w:t xml:space="preserve">об </w:t>
      </w:r>
      <w:r>
        <w:rPr>
          <w:rStyle w:val="CharStyle32"/>
        </w:rPr>
        <w:t xml:space="preserve">аукционе, </w:t>
      </w:r>
      <w:r>
        <w:rPr>
          <w:rStyle w:val="CharStyle7"/>
        </w:rPr>
        <w:t xml:space="preserve">документации 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проведении запроса предложений, определение содержания извещения о проведении запроса котировок </w:t>
      </w:r>
      <w:r>
        <w:rPr>
          <w:rStyle w:val="CharStyle23"/>
        </w:rPr>
        <w:t xml:space="preserve">с нарушением требований,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предусмотренных законодательством Российской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Федерации о контрактной системе в сфере закупок, за исключением случаев, предусмотренных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частями 4 и 4.1 настоящей статьи, -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влечет наложение административного штрафа на должностных лиц в размере трех тысяч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22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(часть 4.2 в ред. Федерального закона от 28.12.2013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396-ФЗ)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09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ст. 99, 102, 105 и 106 Федерального закона от 05.04.2013г. № 44-ФЗ,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жалобы: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720" w:right="620" w:hanging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Требуем приостановить подписание контракта в связи с вышеуказанными грубыми нарушениями ФЗ-44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720" w:right="0" w:hanging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Аннулировать результаты проведения электронного аукциона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720" w:right="620" w:hanging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Прошу </w:t>
      </w:r>
      <w:r>
        <w:rPr>
          <w:rStyle w:val="CharStyle23"/>
        </w:rPr>
        <w:t xml:space="preserve">привлечь Заказчика и должностных лиц Заказчика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 административной ответственности </w:t>
      </w:r>
      <w:r>
        <w:rPr>
          <w:rStyle w:val="CharStyle23"/>
        </w:rPr>
        <w:t xml:space="preserve">согласно КоАП РФ,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статей </w:t>
      </w:r>
      <w:r>
        <w:rPr>
          <w:rStyle w:val="CharStyle23"/>
        </w:rPr>
        <w:t xml:space="preserve">7.29, 7.30,7.31, 7.32, 9.16, 19.5, 19.7.2.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Нарушение порядка осуществления закупок товаров, работ, услуг для обеспечения государственных и муниципальных нужд: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22" w:line="252" w:lineRule="exact"/>
        <w:ind w:left="720" w:right="0" w:hanging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 на действия закупочной комиссии.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4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5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Протокол №1 от 12 апреля 2017 г. о назначении директора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 ООО «Центр поставок Профит» Павлов П.В.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241" w:left="802" w:right="802" w:bottom="1241" w:header="0" w:footer="3" w:gutter="69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4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8"/>
        <w:szCs w:val="18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Основной текст + 9 pt,Интервал 0 pt"/>
    <w:basedOn w:val="CharStyle6"/>
    <w:rPr>
      <w:lang w:val="ru-RU" w:eastAsia="ru-RU" w:bidi="ru-RU"/>
      <w:sz w:val="18"/>
      <w:szCs w:val="18"/>
      <w:w w:val="100"/>
      <w:spacing w:val="10"/>
      <w:color w:val="000000"/>
      <w:position w:val="0"/>
    </w:rPr>
  </w:style>
  <w:style w:type="character" w:customStyle="1" w:styleId="CharStyle8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 + Lucida Sans Unicode,9 pt"/>
    <w:basedOn w:val="CharStyle6"/>
    <w:rPr>
      <w:lang w:val="ru-RU" w:eastAsia="ru-RU" w:bidi="ru-RU"/>
      <w:sz w:val="18"/>
      <w:szCs w:val="18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 (2) + Не курсив"/>
    <w:basedOn w:val="CharStyle1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3">
    <w:name w:val="Основной текст (2) + 11 pt,Не курсив,Интервал 1 pt"/>
    <w:basedOn w:val="CharStyle11"/>
    <w:rPr>
      <w:lang w:val="ru-RU" w:eastAsia="ru-RU" w:bidi="ru-RU"/>
      <w:i/>
      <w:iCs/>
      <w:sz w:val="22"/>
      <w:szCs w:val="22"/>
      <w:w w:val="100"/>
      <w:spacing w:val="20"/>
      <w:color w:val="000000"/>
      <w:position w:val="0"/>
    </w:rPr>
  </w:style>
  <w:style w:type="character" w:customStyle="1" w:styleId="CharStyle14">
    <w:name w:val="Основной текст (2) + Gulim,9,5 pt,Не курсив"/>
    <w:basedOn w:val="CharStyle11"/>
    <w:rPr>
      <w:lang w:val="ru-RU" w:eastAsia="ru-RU" w:bidi="ru-RU"/>
      <w:i/>
      <w:iCs/>
      <w:sz w:val="19"/>
      <w:szCs w:val="19"/>
      <w:rFonts w:ascii="Gulim" w:eastAsia="Gulim" w:hAnsi="Gulim" w:cs="Gulim"/>
      <w:w w:val="100"/>
      <w:spacing w:val="0"/>
      <w:color w:val="000000"/>
      <w:position w:val="0"/>
    </w:rPr>
  </w:style>
  <w:style w:type="character" w:customStyle="1" w:styleId="CharStyle15">
    <w:name w:val="Основной текст (2) + Не курсив"/>
    <w:basedOn w:val="CharStyle1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6">
    <w:name w:val="Основной текст (2) + Не курсив"/>
    <w:basedOn w:val="CharStyle1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8">
    <w:name w:val="Основной текст (3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8"/>
      <w:szCs w:val="18"/>
      <w:rFonts w:ascii="Lucida Sans Unicode" w:eastAsia="Lucida Sans Unicode" w:hAnsi="Lucida Sans Unicode" w:cs="Lucida Sans Unicode"/>
    </w:rPr>
  </w:style>
  <w:style w:type="character" w:customStyle="1" w:styleId="CharStyle19">
    <w:name w:val="Основной текст (3) + Times New Roman,10 pt,Курсив"/>
    <w:basedOn w:val="CharStyle18"/>
    <w:rPr>
      <w:lang w:val="ru-RU" w:eastAsia="ru-RU" w:bidi="ru-RU"/>
      <w:i/>
      <w:iCs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0">
    <w:name w:val="Основной текст (3)"/>
    <w:basedOn w:val="CharStyle1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(4)_"/>
    <w:basedOn w:val="DefaultParagraphFont"/>
    <w:link w:val="Style21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3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Основной текст (4) + Не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+ Курсив"/>
    <w:basedOn w:val="CharStyle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8">
    <w:name w:val="Основной текст (5) + Lucida Sans Unicode,10,5 pt,Не полужирный,Не курсив"/>
    <w:basedOn w:val="CharStyle27"/>
    <w:rPr>
      <w:lang w:val="ru-RU" w:eastAsia="ru-RU" w:bidi="ru-RU"/>
      <w:b/>
      <w:bCs/>
      <w:i/>
      <w:iCs/>
      <w:sz w:val="21"/>
      <w:szCs w:val="21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29">
    <w:name w:val="Основной текст + Полужирный"/>
    <w:basedOn w:val="CharStyle6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30">
    <w:name w:val="Основной текст + 5,5 pt"/>
    <w:basedOn w:val="CharStyle6"/>
    <w:rPr>
      <w:lang w:val="ru-RU" w:eastAsia="ru-RU" w:bidi="ru-RU"/>
      <w:sz w:val="11"/>
      <w:szCs w:val="11"/>
      <w:w w:val="100"/>
      <w:spacing w:val="0"/>
      <w:color w:val="000000"/>
      <w:position w:val="0"/>
    </w:rPr>
  </w:style>
  <w:style w:type="character" w:customStyle="1" w:styleId="CharStyle31">
    <w:name w:val="Основной текст (4)"/>
    <w:basedOn w:val="CharStyle2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2">
    <w:name w:val="Основной текст + 9 pt,Полужирный,Интервал 0 pt"/>
    <w:basedOn w:val="CharStyle6"/>
    <w:rPr>
      <w:lang w:val="ru-RU" w:eastAsia="ru-RU" w:bidi="ru-RU"/>
      <w:b/>
      <w:bCs/>
      <w:sz w:val="18"/>
      <w:szCs w:val="18"/>
      <w:w w:val="100"/>
      <w:spacing w:val="10"/>
      <w:color w:val="000000"/>
      <w:position w:val="0"/>
    </w:rPr>
  </w:style>
  <w:style w:type="character" w:customStyle="1" w:styleId="CharStyle34">
    <w:name w:val="Основной текст (6)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line="468" w:lineRule="exact"/>
    </w:pPr>
    <w:rPr>
      <w:b/>
      <w:bCs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after="300" w:line="238" w:lineRule="exact"/>
      <w:ind w:hanging="468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both"/>
      <w:spacing w:before="300" w:after="60" w:line="0" w:lineRule="exact"/>
    </w:pPr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spacing w:before="60" w:after="180" w:line="248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Lucida Sans Unicode" w:eastAsia="Lucida Sans Unicode" w:hAnsi="Lucida Sans Unicode" w:cs="Lucida Sans Unicod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FFFFFF"/>
      <w:spacing w:before="540" w:after="180" w:line="252" w:lineRule="exact"/>
      <w:ind w:hanging="700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spacing w:line="252" w:lineRule="exact"/>
    </w:pPr>
    <w:rPr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3">
    <w:name w:val="Основной текст (6)"/>
    <w:basedOn w:val="Normal"/>
    <w:link w:val="CharStyle34"/>
    <w:pPr>
      <w:widowControl w:val="0"/>
      <w:shd w:val="clear" w:color="auto" w:fill="FFFFFF"/>
      <w:spacing w:before="180" w:after="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