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61"/>
        <w:ind w:left="40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298" w:lineRule="exact"/>
        <w:ind w:left="20" w:right="420" w:firstLine="1460"/>
      </w:pPr>
      <w:r>
        <w:rPr>
          <w:lang w:val="ru-RU" w:eastAsia="ru-RU" w:bidi="ru-RU"/>
          <w:w w:val="100"/>
          <w:spacing w:val="0"/>
          <w:color w:val="000000"/>
          <w:position w:val="0"/>
        </w:rPr>
        <w:t xml:space="preserve">УПРАВЛЕНИЕ Федеральной антимонопольной службы </w:t>
      </w:r>
      <w:r>
        <w:rPr>
          <w:rStyle w:val="CharStyle9"/>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 К</w:t>
      </w:r>
      <w:r>
        <w:rPr>
          <w:lang w:val="ru-RU" w:eastAsia="ru-RU" w:bidi="ru-RU"/>
          <w:w w:val="100"/>
          <w:spacing w:val="0"/>
          <w:color w:val="000000"/>
          <w:position w:val="0"/>
        </w:rPr>
        <w:t>р</w:t>
      </w:r>
      <w:r>
        <w:rPr>
          <w:lang w:val="ru-RU" w:eastAsia="ru-RU" w:bidi="ru-RU"/>
          <w:vertAlign w:val="superscript"/>
          <w:w w:val="100"/>
          <w:spacing w:val="0"/>
          <w:color w:val="000000"/>
          <w:position w:val="0"/>
        </w:rPr>
        <w:t>ым и го</w:t>
      </w:r>
      <w:r>
        <w:rPr>
          <w:lang w:val="ru-RU" w:eastAsia="ru-RU" w:bidi="ru-RU"/>
          <w:w w:val="100"/>
          <w:spacing w:val="0"/>
          <w:color w:val="000000"/>
          <w:position w:val="0"/>
        </w:rPr>
        <w:t>р</w:t>
      </w:r>
      <w:r>
        <w:rPr>
          <w:lang w:val="ru-RU" w:eastAsia="ru-RU" w:bidi="ru-RU"/>
          <w:vertAlign w:val="superscript"/>
          <w:w w:val="100"/>
          <w:spacing w:val="0"/>
          <w:color w:val="000000"/>
          <w:position w:val="0"/>
        </w:rPr>
        <w:t>о</w:t>
      </w:r>
      <w:r>
        <w:rPr>
          <w:lang w:val="ru-RU" w:eastAsia="ru-RU" w:bidi="ru-RU"/>
          <w:w w:val="100"/>
          <w:spacing w:val="0"/>
          <w:color w:val="000000"/>
          <w:position w:val="0"/>
        </w:rPr>
        <w:t xml:space="preserve">ду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9"/>
          <w:b w:val="0"/>
          <w:bCs w:val="0"/>
        </w:rPr>
        <w:t>Муниципальное унитарное предприятие</w:t>
      </w:r>
    </w:p>
    <w:p>
      <w:pPr>
        <w:pStyle w:val="Style3"/>
        <w:framePr w:w="3976" w:h="1765" w:wrap="around" w:vAnchor="text" w:hAnchor="margin" w:x="-71" w:y="3"/>
        <w:widowControl w:val="0"/>
        <w:keepNext w:val="0"/>
        <w:keepLines w:val="0"/>
        <w:shd w:val="clear" w:color="auto" w:fill="auto"/>
        <w:bidi w:val="0"/>
        <w:spacing w:before="0" w:after="93"/>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76" w:h="1765" w:wrap="around" w:vAnchor="text" w:hAnchor="margin" w:x="-71" w:y="3"/>
        <w:widowControl w:val="0"/>
        <w:keepNext w:val="0"/>
        <w:keepLines w:val="0"/>
        <w:shd w:val="clear" w:color="auto" w:fill="auto"/>
        <w:bidi w:val="0"/>
        <w:jc w:val="left"/>
        <w:spacing w:before="0" w:after="0" w:line="442" w:lineRule="exact"/>
        <w:ind w:left="0" w:right="760" w:firstLine="0"/>
      </w:pPr>
      <w:r>
        <w:rPr>
          <w:rStyle w:val="CharStyle6"/>
          <w:spacing w:val="0"/>
        </w:rPr>
        <w:t>09.11.2017 №06/12778 На № 30-10/7 от 30.10.2017</w:t>
      </w:r>
    </w:p>
    <w:p>
      <w:pPr>
        <w:pStyle w:val="Style5"/>
        <w:widowControl w:val="0"/>
        <w:keepNext w:val="0"/>
        <w:keepLines w:val="0"/>
        <w:shd w:val="clear" w:color="auto" w:fill="auto"/>
        <w:bidi w:val="0"/>
        <w:jc w:val="left"/>
        <w:spacing w:before="0" w:after="0"/>
        <w:ind w:left="1080" w:right="420" w:firstLine="0"/>
      </w:pPr>
      <w:r>
        <w:rPr>
          <w:lang w:val="ru-RU" w:eastAsia="ru-RU" w:bidi="ru-RU"/>
          <w:w w:val="100"/>
          <w:spacing w:val="0"/>
          <w:color w:val="000000"/>
          <w:position w:val="0"/>
        </w:rPr>
        <w:t>муниципального образования городской округ Симферополь Республики Крым "Метроград"</w:t>
      </w:r>
    </w:p>
    <w:p>
      <w:pPr>
        <w:pStyle w:val="Style5"/>
        <w:widowControl w:val="0"/>
        <w:keepNext w:val="0"/>
        <w:keepLines w:val="0"/>
        <w:shd w:val="clear" w:color="auto" w:fill="auto"/>
        <w:bidi w:val="0"/>
        <w:jc w:val="left"/>
        <w:spacing w:before="0" w:after="300"/>
        <w:ind w:left="1080" w:right="420" w:firstLine="0"/>
      </w:pPr>
      <w:r>
        <w:rPr>
          <w:lang w:val="ru-RU" w:eastAsia="ru-RU" w:bidi="ru-RU"/>
          <w:w w:val="100"/>
          <w:spacing w:val="0"/>
          <w:color w:val="000000"/>
          <w:position w:val="0"/>
        </w:rPr>
        <w:t>295044, Республика Крым, г. Симферополь, ул. Залесская, дом 78</w:t>
      </w:r>
    </w:p>
    <w:p>
      <w:pPr>
        <w:pStyle w:val="Style5"/>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ind w:left="4980" w:right="300" w:firstLine="0"/>
      </w:pPr>
      <w:r>
        <w:rPr>
          <w:lang w:val="ru-RU" w:eastAsia="ru-RU" w:bidi="ru-RU"/>
          <w:w w:val="100"/>
          <w:spacing w:val="0"/>
          <w:color w:val="000000"/>
          <w:position w:val="0"/>
        </w:rPr>
        <w:t>Общество с ограниченной ответственностью «Крым-Магистраль» 295006, Республика Крым,</w:t>
      </w:r>
    </w:p>
    <w:p>
      <w:pPr>
        <w:pStyle w:val="Style5"/>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left"/>
        <w:spacing w:before="0" w:after="300"/>
        <w:ind w:left="4980" w:right="0" w:firstLine="0"/>
      </w:pPr>
      <w:r>
        <w:rPr>
          <w:lang w:val="ru-RU" w:eastAsia="ru-RU" w:bidi="ru-RU"/>
          <w:w w:val="100"/>
          <w:spacing w:val="0"/>
          <w:color w:val="000000"/>
          <w:position w:val="0"/>
        </w:rPr>
        <w:t>ул. Набережная имени 60 летия СССР 75з</w:t>
      </w:r>
    </w:p>
    <w:p>
      <w:pPr>
        <w:pStyle w:val="Style5"/>
        <w:numPr>
          <w:ilvl w:val="0"/>
          <w:numId w:val="1"/>
        </w:numPr>
        <w:widowControl w:val="0"/>
        <w:keepNext w:val="0"/>
        <w:keepLines w:val="0"/>
        <w:shd w:val="clear" w:color="auto" w:fill="auto"/>
        <w:bidi w:val="0"/>
        <w:jc w:val="left"/>
        <w:spacing w:before="0" w:after="0"/>
        <w:ind w:left="4980" w:right="30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5"/>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121151, г. Москва, наб. Тараса Шевченко,</w:t>
      </w:r>
    </w:p>
    <w:p>
      <w:pPr>
        <w:pStyle w:val="Style5"/>
        <w:widowControl w:val="0"/>
        <w:keepNext w:val="0"/>
        <w:keepLines w:val="0"/>
        <w:shd w:val="clear" w:color="auto" w:fill="auto"/>
        <w:bidi w:val="0"/>
        <w:jc w:val="left"/>
        <w:spacing w:before="0" w:after="180"/>
        <w:ind w:left="4980" w:right="0" w:firstLine="0"/>
      </w:pPr>
      <w:r>
        <w:rPr>
          <w:lang w:val="ru-RU" w:eastAsia="ru-RU" w:bidi="ru-RU"/>
          <w:w w:val="100"/>
          <w:spacing w:val="0"/>
          <w:color w:val="000000"/>
          <w:position w:val="0"/>
        </w:rPr>
        <w:t>д. 23А, сектор В, 25 этаж</w:t>
      </w:r>
    </w:p>
    <w:p>
      <w:pPr>
        <w:pStyle w:val="Style11"/>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№06/4162-17 о нарушении законодательства Российской Федерации о контрактной системе в сфере закупок</w:t>
      </w:r>
    </w:p>
    <w:p>
      <w:pPr>
        <w:pStyle w:val="Style5"/>
        <w:tabs>
          <w:tab w:leader="none" w:pos="8018"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07.11.2017</w:t>
        <w:tab/>
        <w:t>г. Симферополь</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при участии представителей интересов Заказчика Е. В. Кондрашова (по</w:t>
        <w:br w:type="page"/>
        <w:t>доверенности), Т. Ю. Щегловой (по доверенности), С. М. Ечмакова (по доверенности),</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5"/>
        <w:tabs>
          <w:tab w:leader="none" w:pos="10210"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от 30.10.2017 № 30-10/17 (вх. №4744/09 от 31.10.2017) на действия Заказчика, Аукционной комиссии Заказчика при проведении электронного аукциона « Ремонт асфальтобетонного покрытия территории базы» (номер извещения 0575600000317000080)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jc w:val="both"/>
        <w:spacing w:before="0" w:after="22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Аукционной комиссии Заказчика при проведении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Аукционной комиссии Заказчика, необоснованно отказавшей Заявителю в допуске к участию в Аукционе по итогам рассмотрения первых частей заявок участников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№06/12469,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 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15:50 03.11.2017.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15:40 07.11.2017.</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извещение о проведении закупки размещено на официальном сайте — 18.10.2017;</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- 1 927 568,94рублей;</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26.10.2017 08:00, дата окончания срока рассмотрения первых частей заявок участников: 27.10.2017, дата проведения Аукциона: 30.10.2017;</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10 заявок, из них по результатам рассмотрения первых частей заявок 9 заявок отклонены (в том числе заявка Заявителя с порядковым номером «6»);</w:t>
      </w:r>
    </w:p>
    <w:p>
      <w:pPr>
        <w:pStyle w:val="Style5"/>
        <w:numPr>
          <w:ilvl w:val="0"/>
          <w:numId w:val="3"/>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результатам рассмотрения первой части заявки Заявителя.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согласие, предусмотренное пунктом 2 части 3 статьи 66 Закона о</w:t>
        <w:br w:type="page"/>
        <w:t>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5"/>
        <w:tabs>
          <w:tab w:leader="underscore" w:pos="4220" w:val="left"/>
        </w:tabs>
        <w:widowControl w:val="0"/>
        <w:keepNext w:val="0"/>
        <w:keepLines w:val="0"/>
        <w:shd w:val="clear" w:color="auto" w:fill="auto"/>
        <w:bidi w:val="0"/>
        <w:jc w:val="both"/>
        <w:spacing w:before="0" w:after="0"/>
        <w:ind w:left="20" w:right="20" w:firstLine="860"/>
        <w:sectPr>
          <w:footnotePr>
            <w:pos w:val="pageBottom"/>
            <w:numFmt w:val="decimal"/>
            <w:numRestart w:val="continuous"/>
          </w:footnotePr>
          <w:type w:val="continuous"/>
          <w:pgSz w:w="11906" w:h="16838"/>
          <w:pgMar w:top="1286" w:left="898" w:right="783" w:bottom="955" w:header="0" w:footer="3" w:gutter="0"/>
          <w:rtlGutter w:val="0"/>
          <w:cols w:space="720"/>
          <w:noEndnote/>
          <w:docGrid w:linePitch="360"/>
        </w:sectPr>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27.10.2017 №057560000031700080-1 участнику закупки с порядковым номером заявки «6» (Заявитель) отказано в допуске к участию в Аукционе по </w:t>
      </w:r>
      <w:r>
        <w:rPr>
          <w:rStyle w:val="CharStyle15"/>
        </w:rPr>
        <w:t xml:space="preserve">причине: </w:t>
      </w:r>
      <w:r>
        <w:rPr>
          <w:rStyle w:val="CharStyle16"/>
        </w:rPr>
        <w:t>«...</w:t>
      </w:r>
      <w:r>
        <w:rPr>
          <w:rStyle w:val="CharStyle17"/>
          <w:lang w:val="ru-RU" w:eastAsia="ru-RU" w:bidi="ru-RU"/>
        </w:rPr>
        <w:tab/>
      </w:r>
    </w:p>
    <w:p>
      <w:pPr>
        <w:widowControl w:val="0"/>
        <w:spacing w:line="126"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00" w:wrap="around" w:vAnchor="text" w:hAnchor="margin" w:x="-589" w:y="2395"/>
        <w:widowControl w:val="0"/>
        <w:keepNext w:val="0"/>
        <w:keepLines w:val="0"/>
        <w:shd w:val="clear" w:color="auto" w:fill="auto"/>
        <w:bidi w:val="0"/>
        <w:jc w:val="left"/>
        <w:spacing w:before="0" w:after="0" w:line="200" w:lineRule="exact"/>
        <w:ind w:left="0" w:right="0" w:firstLine="0"/>
      </w:pPr>
      <w:r>
        <w:rPr>
          <w:rStyle w:val="CharStyle19"/>
        </w:rPr>
        <w:t>6</w:t>
      </w:r>
    </w:p>
    <w:p>
      <w:pPr>
        <w:widowControl w:val="0"/>
        <w:rPr>
          <w:sz w:val="2"/>
          <w:szCs w:val="2"/>
        </w:rPr>
      </w:pPr>
    </w:p>
    <w:p>
      <w:pPr>
        <w:pStyle w:val="Style1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Отказать в допуске участника закупки к участию в электронном аукционе</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 А</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именно: п. 3 Бруски обрезные.</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Указанная участником толщина 40 мм и ширина 150 мм противоречит требованиям ГОСТ. Согласно ГОСТ 18288-87 «Производство лесопильное. Термины и определения» брусок - это Пиломатериал толщиной до 100 мм и шириной не более двойной толщины.</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Доска - это Пиломатериал толщиной до 100 мм и шириной более двойной толщины.</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Произведем расчет: 150 мм/ 40 мм = 3,75 раза, следовательно, участник закупки указал доску, а не брусок, как требовала документация.</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И т.д.</w:t>
      </w:r>
    </w:p>
    <w:p>
      <w:pPr>
        <w:pStyle w:val="Style18"/>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w:t>
      </w:r>
    </w:p>
    <w:p>
      <w:pPr>
        <w:pStyle w:val="Style18"/>
        <w:widowControl w:val="0"/>
        <w:keepNext w:val="0"/>
        <w:keepLines w:val="0"/>
        <w:shd w:val="clear" w:color="auto" w:fill="auto"/>
        <w:bidi w:val="0"/>
        <w:spacing w:before="0" w:after="0"/>
        <w:ind w:left="0" w:right="0" w:firstLine="0"/>
        <w:sectPr>
          <w:type w:val="continuous"/>
          <w:pgSz w:w="11906" w:h="16838"/>
          <w:pgMar w:top="1147" w:left="2068" w:right="806" w:bottom="552" w:header="0" w:footer="3" w:gutter="0"/>
          <w:rtlGutter w:val="0"/>
          <w:cols w:num="2" w:space="720" w:equalWidth="0">
            <w:col w:w="3123" w:space="102"/>
            <w:col w:w="5808"/>
          </w:cols>
          <w:noEndnote/>
          <w:docGrid w:linePitch="360"/>
        </w:sectPr>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w:t>
      </w:r>
    </w:p>
    <w:p>
      <w:pPr>
        <w:widowControl w:val="0"/>
        <w:spacing w:line="125"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ind w:left="1000" w:right="0" w:firstLine="0"/>
      </w:pPr>
      <w:r>
        <w:rPr>
          <w:lang w:val="ru-RU" w:eastAsia="ru-RU" w:bidi="ru-RU"/>
          <w:w w:val="100"/>
          <w:spacing w:val="0"/>
          <w:color w:val="000000"/>
          <w:position w:val="0"/>
        </w:rPr>
        <w:t>...» (цитата Протокола рассмотрения).</w:t>
      </w:r>
    </w:p>
    <w:p>
      <w:pPr>
        <w:pStyle w:val="Style5"/>
        <w:widowControl w:val="0"/>
        <w:keepNext w:val="0"/>
        <w:keepLines w:val="0"/>
        <w:shd w:val="clear" w:color="auto" w:fill="auto"/>
        <w:bidi w:val="0"/>
        <w:jc w:val="right"/>
        <w:spacing w:before="0" w:after="56"/>
        <w:ind w:left="0" w:right="20" w:firstLine="0"/>
      </w:pPr>
      <w:r>
        <w:rPr>
          <w:lang w:val="ru-RU" w:eastAsia="ru-RU" w:bidi="ru-RU"/>
          <w:w w:val="100"/>
          <w:spacing w:val="0"/>
          <w:color w:val="000000"/>
          <w:position w:val="0"/>
        </w:rPr>
        <w:t>Заказчиком в Техническом задании документации об Аукционе установлено:</w:t>
      </w:r>
    </w:p>
    <w:p>
      <w:pPr>
        <w:pStyle w:val="Style21"/>
        <w:framePr w:w="10330"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w:t>
      </w:r>
    </w:p>
    <w:tbl>
      <w:tblPr>
        <w:tblOverlap w:val="never"/>
        <w:tblLayout w:type="fixed"/>
        <w:jc w:val="center"/>
      </w:tblPr>
      <w:tblGrid>
        <w:gridCol w:w="682"/>
        <w:gridCol w:w="2266"/>
        <w:gridCol w:w="7382"/>
      </w:tblGrid>
      <w:tr>
        <w:trPr>
          <w:trHeight w:val="288"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1402" w:hRule="exact"/>
        </w:trPr>
        <w:tc>
          <w:tcPr>
            <w:shd w:val="clear" w:color="auto" w:fill="FFFFFF"/>
            <w:tcBorders>
              <w:left w:val="single" w:sz="4"/>
              <w:top w:val="single" w:sz="4"/>
              <w:bottom w:val="single" w:sz="4"/>
            </w:tcBorders>
            <w:vAlign w:val="top"/>
          </w:tcPr>
          <w:p>
            <w:pPr>
              <w:pStyle w:val="Style5"/>
              <w:framePr w:w="10330"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23"/>
              </w:rPr>
              <w:t>3.</w:t>
            </w:r>
          </w:p>
        </w:tc>
        <w:tc>
          <w:tcPr>
            <w:shd w:val="clear" w:color="auto" w:fill="FFFFFF"/>
            <w:tcBorders>
              <w:left w:val="single" w:sz="4"/>
              <w:top w:val="single" w:sz="4"/>
              <w:bottom w:val="single" w:sz="4"/>
            </w:tcBorders>
            <w:vAlign w:val="top"/>
          </w:tcPr>
          <w:p>
            <w:pPr>
              <w:pStyle w:val="Style5"/>
              <w:framePr w:w="10330"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Бруски обрезные</w:t>
            </w:r>
          </w:p>
        </w:tc>
        <w:tc>
          <w:tcPr>
            <w:shd w:val="clear" w:color="auto" w:fill="FFFFFF"/>
            <w:tcBorders>
              <w:left w:val="single" w:sz="4"/>
              <w:right w:val="single" w:sz="4"/>
              <w:top w:val="single" w:sz="4"/>
              <w:bottom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3"/>
              </w:rPr>
              <w:t xml:space="preserve">Должны быть из древесины хвойных пород. Сорт должен быть не менее III. Длина не менее 4,0 м и не более 6,5 м. Влажность должна быть не более 30 %. Шероховатость поверхности </w:t>
            </w:r>
            <w:r>
              <w:rPr>
                <w:rStyle w:val="CharStyle23"/>
                <w:lang w:val="en-US" w:eastAsia="en-US" w:bidi="en-US"/>
              </w:rPr>
              <w:t xml:space="preserve">Rmmax </w:t>
            </w:r>
            <w:r>
              <w:rPr>
                <w:rStyle w:val="CharStyle23"/>
              </w:rPr>
              <w:t>не должна быть более 1250 мкм.Бруски должны быть толщиной 40-75 мм, шириной 75-150 мм. Покоробленность поперечная (стрела прогиба в</w:t>
            </w:r>
          </w:p>
        </w:tc>
      </w:tr>
    </w:tbl>
    <w:p>
      <w:pPr>
        <w:widowControl w:val="0"/>
        <w:rPr>
          <w:sz w:val="2"/>
          <w:szCs w:val="2"/>
        </w:rPr>
      </w:pPr>
    </w:p>
    <w:p>
      <w:pPr>
        <w:widowControl w:val="0"/>
        <w:rPr>
          <w:sz w:val="2"/>
          <w:szCs w:val="2"/>
        </w:rPr>
        <w:sectPr>
          <w:type w:val="continuous"/>
          <w:pgSz w:w="11906" w:h="16838"/>
          <w:pgMar w:top="1132" w:left="762" w:right="805" w:bottom="537" w:header="0" w:footer="3" w:gutter="0"/>
          <w:rtlGutter w:val="0"/>
          <w:cols w:space="720"/>
          <w:noEndnote/>
          <w:docGrid w:linePitch="360"/>
        </w:sectPr>
      </w:pPr>
    </w:p>
    <w:tbl>
      <w:tblPr>
        <w:tblOverlap w:val="never"/>
        <w:tblLayout w:type="fixed"/>
        <w:jc w:val="center"/>
      </w:tblPr>
      <w:tblGrid>
        <w:gridCol w:w="682"/>
        <w:gridCol w:w="2266"/>
        <w:gridCol w:w="7382"/>
      </w:tblGrid>
      <w:tr>
        <w:trPr>
          <w:trHeight w:val="1118"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3"/>
              </w:rPr>
              <w:t>долях ширины пиломатериала) не должна быть более 2%. Покоробленность продольная по пласти и кромке, крыловатость (стрела прогиба в долях длины пиломатериала) должна быть не более 0,4 %.</w:t>
            </w:r>
          </w:p>
        </w:tc>
      </w:tr>
      <w:tr>
        <w:trPr>
          <w:trHeight w:val="298" w:hRule="exact"/>
        </w:trPr>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30" w:wrap="notBeside" w:vAnchor="text" w:hAnchor="text" w:xAlign="center" w:y="1"/>
              <w:widowControl w:val="0"/>
              <w:rPr>
                <w:sz w:val="10"/>
                <w:szCs w:val="10"/>
              </w:rPr>
            </w:pPr>
          </w:p>
        </w:tc>
      </w:tr>
    </w:tbl>
    <w:p>
      <w:pPr>
        <w:pStyle w:val="Style21"/>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5"/>
        <w:widowControl w:val="0"/>
        <w:keepNext w:val="0"/>
        <w:keepLines w:val="0"/>
        <w:shd w:val="clear" w:color="auto" w:fill="auto"/>
        <w:bidi w:val="0"/>
        <w:jc w:val="both"/>
        <w:spacing w:before="0" w:after="0"/>
        <w:ind w:left="120" w:right="20" w:firstLine="860"/>
      </w:pPr>
      <w:r>
        <w:rPr>
          <w:lang w:val="ru-RU" w:eastAsia="ru-RU" w:bidi="ru-RU"/>
          <w:w w:val="100"/>
          <w:spacing w:val="0"/>
          <w:color w:val="000000"/>
          <w:position w:val="0"/>
        </w:rPr>
        <w:t>В ходе заседания Комиссии представители Заказчика пояснили, что Заявителем в составе своей первой части заявки под порядковым номером «6» представлены показатели товаров (материалов), используемых при выполнении работ противоречащие требованиям государственных стандартов.</w:t>
      </w:r>
    </w:p>
    <w:p>
      <w:pPr>
        <w:pStyle w:val="Style5"/>
        <w:widowControl w:val="0"/>
        <w:keepNext w:val="0"/>
        <w:keepLines w:val="0"/>
        <w:shd w:val="clear" w:color="auto" w:fill="auto"/>
        <w:bidi w:val="0"/>
        <w:jc w:val="both"/>
        <w:spacing w:before="0" w:after="0"/>
        <w:ind w:left="1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«6» (Заявитель), предоставленную представителями Заказчика, положения соответствующих ГОСТов, с учетом пояснений представителей Заказчика, приходит к выводу об обоснованности действий Единой комиссии Заказчика по признанию заявки Заявителя не соответствующей документации об Аукционе.</w:t>
      </w:r>
    </w:p>
    <w:p>
      <w:pPr>
        <w:pStyle w:val="Style5"/>
        <w:widowControl w:val="0"/>
        <w:keepNext w:val="0"/>
        <w:keepLines w:val="0"/>
        <w:shd w:val="clear" w:color="auto" w:fill="auto"/>
        <w:bidi w:val="0"/>
        <w:jc w:val="both"/>
        <w:spacing w:before="0" w:after="60"/>
        <w:ind w:left="1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Заказчика по рассмотрению заявки Заявителя не нарушают требования статей 66, 67 Закона о контрактной системе.</w:t>
      </w:r>
    </w:p>
    <w:p>
      <w:pPr>
        <w:pStyle w:val="Style5"/>
        <w:widowControl w:val="0"/>
        <w:keepNext w:val="0"/>
        <w:keepLines w:val="0"/>
        <w:shd w:val="clear" w:color="auto" w:fill="auto"/>
        <w:bidi w:val="0"/>
        <w:jc w:val="both"/>
        <w:spacing w:before="0" w:after="229"/>
        <w:ind w:left="1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237" w:line="260" w:lineRule="exact"/>
        <w:ind w:left="5000" w:right="0" w:firstLine="0"/>
      </w:pPr>
      <w:r>
        <w:rPr>
          <w:lang w:val="ru-RU" w:eastAsia="ru-RU" w:bidi="ru-RU"/>
          <w:w w:val="100"/>
          <w:spacing w:val="0"/>
          <w:color w:val="000000"/>
          <w:position w:val="0"/>
        </w:rPr>
        <w:t>РЕШИЛА:</w:t>
      </w:r>
    </w:p>
    <w:p>
      <w:pPr>
        <w:pStyle w:val="Style5"/>
        <w:numPr>
          <w:ilvl w:val="0"/>
          <w:numId w:val="7"/>
        </w:numPr>
        <w:widowControl w:val="0"/>
        <w:keepNext w:val="0"/>
        <w:keepLines w:val="0"/>
        <w:shd w:val="clear" w:color="auto" w:fill="auto"/>
        <w:bidi w:val="0"/>
        <w:jc w:val="both"/>
        <w:spacing w:before="0" w:after="0" w:line="260" w:lineRule="exact"/>
        <w:ind w:left="12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7"/>
        </w:numPr>
        <w:widowControl w:val="0"/>
        <w:keepNext w:val="0"/>
        <w:keepLines w:val="0"/>
        <w:shd w:val="clear" w:color="auto" w:fill="auto"/>
        <w:bidi w:val="0"/>
        <w:jc w:val="both"/>
        <w:spacing w:before="0" w:after="184"/>
        <w:ind w:left="1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 06/12469</w:t>
      </w:r>
    </w:p>
    <w:p>
      <w:pPr>
        <w:pStyle w:val="Style5"/>
        <w:widowControl w:val="0"/>
        <w:keepNext w:val="0"/>
        <w:keepLines w:val="0"/>
        <w:shd w:val="clear" w:color="auto" w:fill="auto"/>
        <w:bidi w:val="0"/>
        <w:jc w:val="both"/>
        <w:spacing w:before="0" w:after="339" w:line="317" w:lineRule="exact"/>
        <w:ind w:left="1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7807" w:val="left"/>
        </w:tabs>
        <w:widowControl w:val="0"/>
        <w:keepNext w:val="0"/>
        <w:keepLines w:val="0"/>
        <w:shd w:val="clear" w:color="auto" w:fill="auto"/>
        <w:bidi w:val="0"/>
        <w:jc w:val="both"/>
        <w:spacing w:before="0" w:after="0" w:line="643" w:lineRule="exact"/>
        <w:ind w:left="120" w:right="0" w:firstLine="0"/>
      </w:pPr>
      <w:r>
        <w:rPr>
          <w:lang w:val="ru-RU" w:eastAsia="ru-RU" w:bidi="ru-RU"/>
          <w:w w:val="100"/>
          <w:spacing w:val="0"/>
          <w:color w:val="000000"/>
          <w:position w:val="0"/>
        </w:rPr>
        <w:t>Председатель Комиссии</w:t>
        <w:tab/>
        <w:t>М. С. Муравьёв</w:t>
      </w:r>
    </w:p>
    <w:p>
      <w:pPr>
        <w:pStyle w:val="Style5"/>
        <w:tabs>
          <w:tab w:leader="none" w:pos="7807" w:val="left"/>
        </w:tabs>
        <w:widowControl w:val="0"/>
        <w:keepNext w:val="0"/>
        <w:keepLines w:val="0"/>
        <w:shd w:val="clear" w:color="auto" w:fill="auto"/>
        <w:bidi w:val="0"/>
        <w:jc w:val="both"/>
        <w:spacing w:before="0" w:after="0" w:line="643" w:lineRule="exact"/>
        <w:ind w:left="120" w:right="0" w:firstLine="0"/>
      </w:pPr>
      <w:r>
        <w:rPr>
          <w:lang w:val="ru-RU" w:eastAsia="ru-RU" w:bidi="ru-RU"/>
          <w:w w:val="100"/>
          <w:spacing w:val="0"/>
          <w:color w:val="000000"/>
          <w:position w:val="0"/>
        </w:rPr>
        <w:t>Заместитель председателя Комиссии:</w:t>
        <w:tab/>
        <w:t>Н. П. Казакова</w:t>
      </w:r>
    </w:p>
    <w:p>
      <w:pPr>
        <w:pStyle w:val="Style5"/>
        <w:framePr w:h="240" w:wrap="around" w:vAnchor="text" w:hAnchor="margin" w:x="103" w:y="1"/>
        <w:widowControl w:val="0"/>
        <w:keepNext w:val="0"/>
        <w:keepLines w:val="0"/>
        <w:shd w:val="clear" w:color="auto" w:fill="auto"/>
        <w:bidi w:val="0"/>
        <w:jc w:val="left"/>
        <w:spacing w:before="0" w:after="0" w:line="240" w:lineRule="exact"/>
        <w:ind w:left="2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2408" w:left="778" w:right="788" w:bottom="19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en-US" w:eastAsia="en-US" w:bidi="en-US"/>
      <w:u w:val="single"/>
      <w:w w:val="100"/>
      <w:spacing w:val="0"/>
      <w:color w:val="000000"/>
      <w:position w:val="0"/>
    </w:rPr>
  </w:style>
  <w:style w:type="character" w:customStyle="1" w:styleId="CharStyle14">
    <w:name w:val="Основной текст"/>
    <w:basedOn w:val="CharStyle10"/>
    <w:rPr>
      <w:lang w:val="en-US" w:eastAsia="en-US" w:bidi="en-US"/>
      <w:w w:val="100"/>
      <w:spacing w:val="0"/>
      <w:color w:val="000000"/>
      <w:position w:val="0"/>
    </w:rPr>
  </w:style>
  <w:style w:type="character" w:customStyle="1" w:styleId="CharStyle15">
    <w:name w:val="Основной текст"/>
    <w:basedOn w:val="CharStyle10"/>
    <w:rPr>
      <w:lang w:val="ru-RU" w:eastAsia="ru-RU" w:bidi="ru-RU"/>
      <w:u w:val="single"/>
      <w:w w:val="100"/>
      <w:spacing w:val="0"/>
      <w:color w:val="000000"/>
      <w:position w:val="0"/>
    </w:rPr>
  </w:style>
  <w:style w:type="character" w:customStyle="1" w:styleId="CharStyle16">
    <w:name w:val="Основной текст + Интервал 1 pt"/>
    <w:basedOn w:val="CharStyle10"/>
    <w:rPr>
      <w:lang w:val="ru-RU" w:eastAsia="ru-RU" w:bidi="ru-RU"/>
      <w:u w:val="single"/>
      <w:w w:val="100"/>
      <w:spacing w:val="30"/>
      <w:color w:val="000000"/>
      <w:position w:val="0"/>
    </w:rPr>
  </w:style>
  <w:style w:type="character" w:customStyle="1" w:styleId="CharStyle17">
    <w:name w:val="Основной текст + Интервал 1 pt"/>
    <w:basedOn w:val="CharStyle10"/>
    <w:rPr>
      <w:lang w:val="1024"/>
      <w:w w:val="100"/>
      <w:spacing w:val="30"/>
      <w:color w:val="000000"/>
      <w:position w:val="0"/>
    </w:rPr>
  </w:style>
  <w:style w:type="character" w:customStyle="1" w:styleId="CharStyle19">
    <w:name w:val="Основной текст (5)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20">
    <w:name w:val="Основной текст (5)_"/>
    <w:basedOn w:val="DefaultParagraphFont"/>
    <w:link w:val="Style18"/>
    <w:rPr>
      <w:b w:val="0"/>
      <w:bCs w:val="0"/>
      <w:i w:val="0"/>
      <w:iCs w:val="0"/>
      <w:u w:val="none"/>
      <w:strike w:val="0"/>
      <w:smallCaps w:val="0"/>
      <w:sz w:val="21"/>
      <w:szCs w:val="21"/>
      <w:rFonts w:ascii="Times New Roman" w:eastAsia="Times New Roman" w:hAnsi="Times New Roman" w:cs="Times New Roman"/>
    </w:rPr>
  </w:style>
  <w:style w:type="character" w:customStyle="1" w:styleId="CharStyle22">
    <w:name w:val="Подпись к таблице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 11,5 pt"/>
    <w:basedOn w:val="CharStyle10"/>
    <w:rPr>
      <w:lang w:val="ru-RU" w:eastAsia="ru-RU" w:bidi="ru-RU"/>
      <w:sz w:val="23"/>
      <w:szCs w:val="23"/>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5)"/>
    <w:basedOn w:val="Normal"/>
    <w:link w:val="CharStyle20"/>
    <w:pPr>
      <w:widowControl w:val="0"/>
      <w:shd w:val="clear" w:color="auto" w:fill="FFFFFF"/>
      <w:jc w:val="center"/>
      <w:spacing w:line="25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1">
    <w:name w:val="Подпись к таблице"/>
    <w:basedOn w:val="Normal"/>
    <w:link w:val="CharStyle22"/>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