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4" w:after="157"/>
        <w:ind w:left="400" w:right="0" w:firstLine="0"/>
      </w:pPr>
      <w:r>
        <w:rPr>
          <w:lang w:val="ru-RU" w:eastAsia="ru-RU" w:bidi="ru-RU"/>
          <w:w w:val="100"/>
          <w:spacing w:val="0"/>
          <w:color w:val="000000"/>
          <w:position w:val="0"/>
        </w:rPr>
        <w:t>ФЕДЕРАЛЬНАЯ АНТИМОНОПОЛЬНАЯ СЛУЖБА</w:t>
      </w:r>
    </w:p>
    <w:p>
      <w:pPr>
        <w:pStyle w:val="Style7"/>
        <w:tabs>
          <w:tab w:leader="none" w:pos="4902" w:val="left"/>
        </w:tabs>
        <w:widowControl w:val="0"/>
        <w:keepNext w:val="0"/>
        <w:keepLines w:val="0"/>
        <w:shd w:val="clear" w:color="auto" w:fill="auto"/>
        <w:bidi w:val="0"/>
        <w:jc w:val="left"/>
        <w:spacing w:before="0" w:after="0" w:line="302" w:lineRule="exact"/>
        <w:ind w:left="160" w:right="3860" w:firstLine="1300"/>
      </w:pPr>
      <w:r>
        <w:rPr>
          <w:lang w:val="ru-RU" w:eastAsia="ru-RU" w:bidi="ru-RU"/>
          <w:w w:val="100"/>
          <w:spacing w:val="0"/>
          <w:color w:val="000000"/>
          <w:position w:val="0"/>
        </w:rPr>
        <w:t>УПРАВЛЕНИЕ Федеральной антимонопольной службы</w:t>
        <w:tab/>
      </w:r>
      <w:r>
        <w:rPr>
          <w:rStyle w:val="CharStyle9"/>
          <w:b w:val="0"/>
          <w:bCs w:val="0"/>
        </w:rPr>
        <w:t>1. Заказчик:</w:t>
      </w:r>
    </w:p>
    <w:p>
      <w:pPr>
        <w:pStyle w:val="Style7"/>
        <w:tabs>
          <w:tab w:leader="none" w:pos="4962" w:val="left"/>
        </w:tabs>
        <w:widowControl w:val="0"/>
        <w:keepNext w:val="0"/>
        <w:keepLines w:val="0"/>
        <w:shd w:val="clear" w:color="auto" w:fill="auto"/>
        <w:bidi w:val="0"/>
        <w:jc w:val="both"/>
        <w:spacing w:before="0" w:after="0" w:line="302" w:lineRule="exact"/>
        <w:ind w:left="20" w:right="0" w:firstLine="0"/>
      </w:pP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 К</w:t>
      </w:r>
      <w:r>
        <w:rPr>
          <w:lang w:val="ru-RU" w:eastAsia="ru-RU" w:bidi="ru-RU"/>
          <w:w w:val="100"/>
          <w:spacing w:val="0"/>
          <w:color w:val="000000"/>
          <w:position w:val="0"/>
        </w:rPr>
        <w:t>р</w:t>
      </w:r>
      <w:r>
        <w:rPr>
          <w:lang w:val="ru-RU" w:eastAsia="ru-RU" w:bidi="ru-RU"/>
          <w:vertAlign w:val="superscript"/>
          <w:w w:val="100"/>
          <w:spacing w:val="0"/>
          <w:color w:val="000000"/>
          <w:position w:val="0"/>
        </w:rPr>
        <w:t>ым и го</w:t>
      </w:r>
      <w:r>
        <w:rPr>
          <w:lang w:val="ru-RU" w:eastAsia="ru-RU" w:bidi="ru-RU"/>
          <w:w w:val="100"/>
          <w:spacing w:val="0"/>
          <w:color w:val="000000"/>
          <w:position w:val="0"/>
        </w:rPr>
        <w:t>р</w:t>
      </w:r>
      <w:r>
        <w:rPr>
          <w:lang w:val="ru-RU" w:eastAsia="ru-RU" w:bidi="ru-RU"/>
          <w:vertAlign w:val="superscript"/>
          <w:w w:val="100"/>
          <w:spacing w:val="0"/>
          <w:color w:val="000000"/>
          <w:position w:val="0"/>
        </w:rPr>
        <w:t>о</w:t>
      </w:r>
      <w:r>
        <w:rPr>
          <w:lang w:val="ru-RU" w:eastAsia="ru-RU" w:bidi="ru-RU"/>
          <w:w w:val="100"/>
          <w:spacing w:val="0"/>
          <w:color w:val="000000"/>
          <w:position w:val="0"/>
        </w:rPr>
        <w:t xml:space="preserve">ду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ю</w:t>
        <w:tab/>
      </w:r>
      <w:r>
        <w:rPr>
          <w:rStyle w:val="CharStyle9"/>
          <w:b w:val="0"/>
          <w:bCs w:val="0"/>
        </w:rPr>
        <w:t>Муниципальное унитарное предприятие</w:t>
      </w:r>
    </w:p>
    <w:p>
      <w:pPr>
        <w:pStyle w:val="Style10"/>
        <w:tabs>
          <w:tab w:leader="none" w:pos="4902" w:val="left"/>
        </w:tabs>
        <w:widowControl w:val="0"/>
        <w:keepNext w:val="0"/>
        <w:keepLines w:val="0"/>
        <w:shd w:val="clear" w:color="auto" w:fill="auto"/>
        <w:bidi w:val="0"/>
        <w:spacing w:before="0" w:after="0"/>
        <w:ind w:left="1060" w:right="0" w:firstLine="0"/>
      </w:pPr>
      <w:r>
        <w:rPr>
          <w:lang w:val="ru-RU" w:eastAsia="ru-RU" w:bidi="ru-RU"/>
          <w:vertAlign w:val="superscript"/>
          <w:w w:val="100"/>
          <w:spacing w:val="0"/>
          <w:color w:val="000000"/>
          <w:position w:val="0"/>
        </w:rPr>
        <w:t>А</w:t>
      </w:r>
      <w:r>
        <w:rPr>
          <w:lang w:val="ru-RU" w:eastAsia="ru-RU" w:bidi="ru-RU"/>
          <w:w w:val="100"/>
          <w:spacing w:val="0"/>
          <w:color w:val="000000"/>
          <w:position w:val="0"/>
        </w:rPr>
        <w:t>др</w:t>
      </w:r>
      <w:r>
        <w:rPr>
          <w:lang w:val="ru-RU" w:eastAsia="ru-RU" w:bidi="ru-RU"/>
          <w:vertAlign w:val="superscript"/>
          <w:w w:val="100"/>
          <w:spacing w:val="0"/>
          <w:color w:val="000000"/>
          <w:position w:val="0"/>
        </w:rPr>
        <w:t>ес:</w:t>
      </w:r>
      <w:r>
        <w:rPr>
          <w:lang w:val="ru-RU" w:eastAsia="ru-RU" w:bidi="ru-RU"/>
          <w:w w:val="100"/>
          <w:spacing w:val="0"/>
          <w:color w:val="000000"/>
          <w:position w:val="0"/>
        </w:rPr>
        <w:t xml:space="preserve"> ул. </w:t>
      </w:r>
      <w:r>
        <w:rPr>
          <w:lang w:val="ru-RU" w:eastAsia="ru-RU" w:bidi="ru-RU"/>
          <w:vertAlign w:val="superscript"/>
          <w:w w:val="100"/>
          <w:spacing w:val="0"/>
          <w:color w:val="000000"/>
          <w:position w:val="0"/>
        </w:rPr>
        <w:t>Алексан</w:t>
      </w:r>
      <w:r>
        <w:rPr>
          <w:lang w:val="ru-RU" w:eastAsia="ru-RU" w:bidi="ru-RU"/>
          <w:w w:val="100"/>
          <w:spacing w:val="0"/>
          <w:color w:val="000000"/>
          <w:position w:val="0"/>
        </w:rPr>
        <w:t>др</w:t>
      </w:r>
      <w:r>
        <w:rPr>
          <w:lang w:val="ru-RU" w:eastAsia="ru-RU" w:bidi="ru-RU"/>
          <w:vertAlign w:val="superscript"/>
          <w:w w:val="100"/>
          <w:spacing w:val="0"/>
          <w:color w:val="000000"/>
          <w:position w:val="0"/>
        </w:rPr>
        <w:t>а Невс</w:t>
      </w:r>
      <w:r>
        <w:rPr>
          <w:lang w:val="ru-RU" w:eastAsia="ru-RU" w:bidi="ru-RU"/>
          <w:w w:val="100"/>
          <w:spacing w:val="0"/>
          <w:color w:val="000000"/>
          <w:position w:val="0"/>
        </w:rPr>
        <w:t>кого, д. г</w:t>
        <w:tab/>
      </w:r>
      <w:r>
        <w:rPr>
          <w:rStyle w:val="CharStyle12"/>
        </w:rPr>
        <w:t>муниципального образования городской</w:t>
      </w:r>
    </w:p>
    <w:p>
      <w:pPr>
        <w:pStyle w:val="Style3"/>
        <w:widowControl w:val="0"/>
        <w:keepNext w:val="0"/>
        <w:keepLines w:val="0"/>
        <w:shd w:val="clear" w:color="auto" w:fill="auto"/>
        <w:bidi w:val="0"/>
        <w:spacing w:before="0" w:after="0" w:line="150" w:lineRule="exact"/>
        <w:ind w:left="400" w:right="0" w:firstLine="0"/>
      </w:pPr>
      <w:r>
        <w:rPr>
          <w:lang w:val="ru-RU" w:eastAsia="ru-RU" w:bidi="ru-RU"/>
          <w:w w:val="100"/>
          <w:spacing w:val="0"/>
          <w:color w:val="000000"/>
          <w:position w:val="0"/>
        </w:rPr>
        <w:t>г. Симферополь, Республика Крым, 295000</w:t>
      </w:r>
    </w:p>
    <w:p>
      <w:pPr>
        <w:pStyle w:val="Style3"/>
        <w:framePr w:w="3294" w:h="1182" w:wrap="around" w:vAnchor="text" w:hAnchor="margin" w:x="54" w:y="251"/>
        <w:widowControl w:val="0"/>
        <w:keepNext w:val="0"/>
        <w:keepLines w:val="0"/>
        <w:shd w:val="clear" w:color="auto" w:fill="auto"/>
        <w:bidi w:val="0"/>
        <w:jc w:val="right"/>
        <w:spacing w:before="0" w:after="116" w:line="140" w:lineRule="exact"/>
        <w:ind w:left="0" w:right="100" w:firstLine="0"/>
      </w:pPr>
      <w:r>
        <w:rPr>
          <w:rStyle w:val="CharStyle4"/>
        </w:rPr>
        <w:t xml:space="preserve">e-mail: </w:t>
      </w:r>
      <w:r>
        <w:fldChar w:fldCharType="begin"/>
      </w:r>
      <w:r>
        <w:rPr>
          <w:rStyle w:val="CharStyle4"/>
        </w:rPr>
        <w:instrText> HYPERLINK "mailto:to82@fas.gov.ru" </w:instrText>
      </w:r>
      <w:r>
        <w:fldChar w:fldCharType="separate"/>
      </w:r>
      <w:r>
        <w:rPr>
          <w:rStyle w:val="Hyperlink"/>
        </w:rPr>
        <w:t>to82@fas.gov.ru</w:t>
      </w:r>
      <w:r>
        <w:fldChar w:fldCharType="end"/>
      </w:r>
    </w:p>
    <w:p>
      <w:pPr>
        <w:pStyle w:val="Style5"/>
        <w:framePr w:w="3294" w:h="1182" w:wrap="around" w:vAnchor="text" w:hAnchor="margin" w:x="54" w:y="251"/>
        <w:widowControl w:val="0"/>
        <w:keepNext w:val="0"/>
        <w:keepLines w:val="0"/>
        <w:shd w:val="clear" w:color="auto" w:fill="auto"/>
        <w:bidi w:val="0"/>
        <w:jc w:val="left"/>
        <w:spacing w:before="0" w:after="0" w:line="442" w:lineRule="exact"/>
        <w:ind w:left="0" w:right="500" w:firstLine="0"/>
      </w:pPr>
      <w:r>
        <w:rPr>
          <w:rStyle w:val="CharStyle6"/>
          <w:spacing w:val="0"/>
        </w:rPr>
        <w:t>09.11.2017 №06/12774 На № 323 от 30.10.2017</w:t>
      </w:r>
    </w:p>
    <w:p>
      <w:pPr>
        <w:pStyle w:val="Style3"/>
        <w:tabs>
          <w:tab w:leader="none" w:pos="4902" w:val="left"/>
        </w:tabs>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тел. (3652) 544-638, факс (3652) </w:t>
      </w:r>
      <w:r>
        <w:rPr>
          <w:rStyle w:val="CharStyle14"/>
        </w:rPr>
        <w:t>252-431</w:t>
      </w:r>
      <w:r>
        <w:rPr>
          <w:lang w:val="ru-RU" w:eastAsia="ru-RU" w:bidi="ru-RU"/>
          <w:w w:val="100"/>
          <w:spacing w:val="0"/>
          <w:color w:val="000000"/>
          <w:position w:val="0"/>
        </w:rPr>
        <w:tab/>
      </w:r>
      <w:r>
        <w:rPr>
          <w:rStyle w:val="CharStyle15"/>
        </w:rPr>
        <w:t>округ Симферополь Республики Крым</w:t>
      </w:r>
    </w:p>
    <w:p>
      <w:pPr>
        <w:pStyle w:val="Style5"/>
        <w:widowControl w:val="0"/>
        <w:keepNext w:val="0"/>
        <w:keepLines w:val="0"/>
        <w:shd w:val="clear" w:color="auto" w:fill="auto"/>
        <w:bidi w:val="0"/>
        <w:jc w:val="left"/>
        <w:spacing w:before="0" w:after="0"/>
        <w:ind w:left="1780" w:right="0" w:firstLine="0"/>
      </w:pPr>
      <w:r>
        <w:rPr>
          <w:lang w:val="ru-RU" w:eastAsia="ru-RU" w:bidi="ru-RU"/>
          <w:w w:val="100"/>
          <w:spacing w:val="0"/>
          <w:color w:val="000000"/>
          <w:position w:val="0"/>
        </w:rPr>
        <w:t>"Метроград"</w:t>
      </w:r>
    </w:p>
    <w:p>
      <w:pPr>
        <w:pStyle w:val="Style5"/>
        <w:widowControl w:val="0"/>
        <w:keepNext w:val="0"/>
        <w:keepLines w:val="0"/>
        <w:shd w:val="clear" w:color="auto" w:fill="auto"/>
        <w:bidi w:val="0"/>
        <w:jc w:val="left"/>
        <w:spacing w:before="0" w:after="0"/>
        <w:ind w:left="1780" w:right="0" w:firstLine="0"/>
      </w:pPr>
      <w:r>
        <w:rPr>
          <w:lang w:val="ru-RU" w:eastAsia="ru-RU" w:bidi="ru-RU"/>
          <w:w w:val="100"/>
          <w:spacing w:val="0"/>
          <w:color w:val="000000"/>
          <w:position w:val="0"/>
        </w:rPr>
        <w:t>295044, Республика Крым,</w:t>
      </w:r>
    </w:p>
    <w:p>
      <w:pPr>
        <w:pStyle w:val="Style5"/>
        <w:widowControl w:val="0"/>
        <w:keepNext w:val="0"/>
        <w:keepLines w:val="0"/>
        <w:shd w:val="clear" w:color="auto" w:fill="auto"/>
        <w:bidi w:val="0"/>
        <w:jc w:val="left"/>
        <w:spacing w:before="0" w:after="349"/>
        <w:ind w:left="1780" w:right="0" w:firstLine="0"/>
      </w:pPr>
      <w:r>
        <w:rPr>
          <w:lang w:val="ru-RU" w:eastAsia="ru-RU" w:bidi="ru-RU"/>
          <w:w w:val="100"/>
          <w:spacing w:val="0"/>
          <w:color w:val="000000"/>
          <w:position w:val="0"/>
        </w:rPr>
        <w:t>г. Симферополь, ул. Залесская, дом 78</w:t>
      </w:r>
    </w:p>
    <w:p>
      <w:pPr>
        <w:pStyle w:val="Style5"/>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300" w:line="317" w:lineRule="exact"/>
        <w:ind w:left="4980" w:right="320" w:firstLine="0"/>
      </w:pPr>
      <w:r>
        <w:rPr>
          <w:lang w:val="ru-RU" w:eastAsia="ru-RU" w:bidi="ru-RU"/>
          <w:w w:val="100"/>
          <w:spacing w:val="0"/>
          <w:color w:val="000000"/>
          <w:position w:val="0"/>
        </w:rPr>
        <w:t>Общество с ограниченной ответственностью «Крымстрой 2014» 295000, г. Симферополь, пр. Кирова, 29, оф. 210</w:t>
      </w:r>
    </w:p>
    <w:p>
      <w:pPr>
        <w:pStyle w:val="Style5"/>
        <w:numPr>
          <w:ilvl w:val="0"/>
          <w:numId w:val="1"/>
        </w:numPr>
        <w:widowControl w:val="0"/>
        <w:keepNext w:val="0"/>
        <w:keepLines w:val="0"/>
        <w:shd w:val="clear" w:color="auto" w:fill="auto"/>
        <w:bidi w:val="0"/>
        <w:jc w:val="left"/>
        <w:spacing w:before="0" w:after="0" w:line="317" w:lineRule="exact"/>
        <w:ind w:left="4980" w:right="32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5"/>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121151, г. Москва, наб. Тараса Шевченко,</w:t>
      </w:r>
    </w:p>
    <w:p>
      <w:pPr>
        <w:pStyle w:val="Style5"/>
        <w:widowControl w:val="0"/>
        <w:keepNext w:val="0"/>
        <w:keepLines w:val="0"/>
        <w:shd w:val="clear" w:color="auto" w:fill="auto"/>
        <w:bidi w:val="0"/>
        <w:jc w:val="left"/>
        <w:spacing w:before="0" w:after="183" w:line="260" w:lineRule="exact"/>
        <w:ind w:left="4980" w:right="0" w:firstLine="0"/>
      </w:pPr>
      <w:r>
        <w:rPr>
          <w:lang w:val="ru-RU" w:eastAsia="ru-RU" w:bidi="ru-RU"/>
          <w:w w:val="100"/>
          <w:spacing w:val="0"/>
          <w:color w:val="000000"/>
          <w:position w:val="0"/>
        </w:rPr>
        <w:t>д. 23А, сектор В, 25 этаж</w:t>
      </w:r>
    </w:p>
    <w:p>
      <w:pPr>
        <w:pStyle w:val="Style17"/>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№06/4160-17 о нарушении законодательства Российской Федерации о контрактной системе в сфере закупок</w:t>
      </w:r>
    </w:p>
    <w:p>
      <w:pPr>
        <w:pStyle w:val="Style5"/>
        <w:numPr>
          <w:ilvl w:val="0"/>
          <w:numId w:val="3"/>
        </w:numPr>
        <w:tabs>
          <w:tab w:leader="none" w:pos="8148" w:val="center"/>
          <w:tab w:leader="none" w:pos="9948" w:val="right"/>
          <w:tab w:leader="none" w:pos="8086"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г.</w:t>
        <w:tab/>
        <w:t>Симферополь</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left"/>
        <w:spacing w:before="0" w:after="0"/>
        <w:ind w:left="20" w:right="20" w:firstLine="88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при участии представителей интересов Заказчика Е. В. Кондрашова (по доверенности), Т. Ю. Щегловой (по доверенности), С. М. Ечмакова (по</w:t>
        <w:br w:type="page"/>
        <w:t>доверенности),</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рассмотрев жалобу Заявителя от 30.10.2017 № 323 (вх. №4755/09 от</w:t>
      </w:r>
    </w:p>
    <w:p>
      <w:pPr>
        <w:pStyle w:val="Style5"/>
        <w:numPr>
          <w:ilvl w:val="0"/>
          <w:numId w:val="5"/>
        </w:numPr>
        <w:tabs>
          <w:tab w:leader="none" w:pos="1662" w:val="left"/>
        </w:tabs>
        <w:widowControl w:val="0"/>
        <w:keepNext w:val="0"/>
        <w:keepLines w:val="0"/>
        <w:shd w:val="clear" w:color="auto" w:fill="auto"/>
        <w:bidi w:val="0"/>
        <w:jc w:val="both"/>
        <w:spacing w:before="0" w:after="229"/>
        <w:ind w:left="20" w:right="20" w:firstLine="0"/>
      </w:pPr>
      <w:r>
        <w:rPr>
          <w:lang w:val="ru-RU" w:eastAsia="ru-RU" w:bidi="ru-RU"/>
          <w:w w:val="100"/>
          <w:spacing w:val="0"/>
          <w:color w:val="000000"/>
          <w:position w:val="0"/>
        </w:rPr>
        <w:t>на действия Заказчика, Аукционной комиссии Заказчика при проведении электронного аукциона «Ремонт асфальтобетонного покрытия территории базы» (номер извещения 0575600000317000080)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Аукционной комиссии Заказчика при проведении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w:t>
      </w:r>
    </w:p>
    <w:p>
      <w:pPr>
        <w:pStyle w:val="Style5"/>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Аукционной комиссии Заказчика, выразившимися в отказе Заявителю в допуске к участию в Аукционе по результатам рассмотрения первой части заявки Заявителя.</w:t>
      </w:r>
    </w:p>
    <w:p>
      <w:pPr>
        <w:pStyle w:val="Style5"/>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Заказчиком в техническом задании документации об Аукционе установлены требования к товарам (материалам) и (или) показателям, значения которых по мнению Заявителя являются избыточными, что нарушает требования Закона о контрактной системе и приводит к невозможности сформировать и подать заявку на участие в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№06/12467,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 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Заседание Комиссии по рассмотрению жалобы назначено на 15:40 03.11.2017.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15:40 07.11.2017.</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18.10.2017;</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- 1 927 568,94рублей;</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26.10.2017 08:00, дата окончания срока рассмотрения первых частей заявок участников: 27.10.2017, дата проведения Аукциона: 30.10.2017;</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10 заявок, из них по результатам рассмотрения первых частей заявок 9 заявок отклонены (в том числе заявка Заявителя с порядковым номером «4»);</w:t>
      </w:r>
    </w:p>
    <w:p>
      <w:pPr>
        <w:pStyle w:val="Style5"/>
        <w:numPr>
          <w:ilvl w:val="0"/>
          <w:numId w:val="9"/>
        </w:numPr>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 xml:space="preserve"> Аукцион признан несостоявшимся.</w:t>
      </w:r>
    </w:p>
    <w:p>
      <w:pPr>
        <w:pStyle w:val="Style5"/>
        <w:numPr>
          <w:ilvl w:val="0"/>
          <w:numId w:val="11"/>
        </w:numPr>
        <w:tabs>
          <w:tab w:leader="none" w:pos="121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Аукционная комиссия Заказчика необоснованно отказала Заявителю в допуске к участию в Аукционе по результатам рассмотрения первой части заявки Заявителя.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w:t>
      </w:r>
      <w:r>
        <w:br w:type="page"/>
      </w:r>
    </w:p>
    <w:p>
      <w:pPr>
        <w:pStyle w:val="Style5"/>
        <w:widowControl w:val="0"/>
        <w:keepNext w:val="0"/>
        <w:keepLines w:val="0"/>
        <w:shd w:val="clear" w:color="auto" w:fill="auto"/>
        <w:bidi w:val="0"/>
        <w:jc w:val="both"/>
        <w:spacing w:before="0" w:after="0"/>
        <w:ind w:left="20" w:right="280" w:firstLine="0"/>
      </w:pPr>
      <w:r>
        <w:rPr>
          <w:lang w:val="ru-RU" w:eastAsia="ru-RU" w:bidi="ru-RU"/>
          <w:w w:val="100"/>
          <w:spacing w:val="0"/>
          <w:color w:val="000000"/>
          <w:position w:val="0"/>
        </w:rPr>
        <w:t>(при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8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8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5"/>
        <w:numPr>
          <w:ilvl w:val="0"/>
          <w:numId w:val="13"/>
        </w:numPr>
        <w:widowControl w:val="0"/>
        <w:keepNext w:val="0"/>
        <w:keepLines w:val="0"/>
        <w:shd w:val="clear" w:color="auto" w:fill="auto"/>
        <w:bidi w:val="0"/>
        <w:jc w:val="both"/>
        <w:spacing w:before="0" w:after="0"/>
        <w:ind w:left="20" w:right="28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5"/>
        <w:numPr>
          <w:ilvl w:val="0"/>
          <w:numId w:val="13"/>
        </w:numPr>
        <w:widowControl w:val="0"/>
        <w:keepNext w:val="0"/>
        <w:keepLines w:val="0"/>
        <w:shd w:val="clear" w:color="auto" w:fill="auto"/>
        <w:bidi w:val="0"/>
        <w:jc w:val="both"/>
        <w:spacing w:before="0" w:after="0"/>
        <w:ind w:left="20" w:right="28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ind w:left="20" w:right="28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5"/>
        <w:tabs>
          <w:tab w:leader="underscore" w:pos="10254" w:val="left"/>
        </w:tabs>
        <w:widowControl w:val="0"/>
        <w:keepNext w:val="0"/>
        <w:keepLines w:val="0"/>
        <w:shd w:val="clear" w:color="auto" w:fill="auto"/>
        <w:bidi w:val="0"/>
        <w:jc w:val="both"/>
        <w:spacing w:before="0" w:after="0"/>
        <w:ind w:left="20" w:right="280" w:firstLine="860"/>
        <w:sectPr>
          <w:footnotePr>
            <w:pos w:val="pageBottom"/>
            <w:numFmt w:val="decimal"/>
            <w:numRestart w:val="continuous"/>
          </w:footnotePr>
          <w:type w:val="continuous"/>
          <w:pgSz w:w="11906" w:h="16838"/>
          <w:pgMar w:top="1363" w:left="767" w:right="666" w:bottom="878" w:header="0" w:footer="3" w:gutter="0"/>
          <w:rtlGutter w:val="0"/>
          <w:cols w:space="720"/>
          <w:noEndnote/>
          <w:docGrid w:linePitch="360"/>
        </w:sectPr>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27.10.2017 №057560000031700080-1 участнику закупки с порядковым номером заявки «4» (Заявитель) отказано в допуске к участию в Аукционе по </w:t>
      </w:r>
      <w:r>
        <w:rPr>
          <w:rStyle w:val="CharStyle21"/>
        </w:rPr>
        <w:t xml:space="preserve">причине: </w:t>
      </w:r>
      <w:r>
        <w:rPr>
          <w:rStyle w:val="CharStyle22"/>
        </w:rPr>
        <w:t>«...</w:t>
      </w:r>
      <w:r>
        <w:rPr>
          <w:rStyle w:val="CharStyle23"/>
          <w:lang w:val="ru-RU" w:eastAsia="ru-RU" w:bidi="ru-RU"/>
        </w:rPr>
        <w:tab/>
      </w:r>
    </w:p>
    <w:p>
      <w:pPr>
        <w:widowControl w:val="0"/>
        <w:spacing w:line="126"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left"/>
        <w:spacing w:before="0" w:after="0"/>
        <w:ind w:left="0" w:right="0" w:firstLine="800"/>
      </w:pPr>
      <w:r>
        <w:rPr>
          <w:lang w:val="ru-RU" w:eastAsia="ru-RU" w:bidi="ru-RU"/>
          <w:w w:val="100"/>
          <w:spacing w:val="0"/>
          <w:color w:val="000000"/>
          <w:position w:val="0"/>
        </w:rPr>
        <w:t>Отказать в допуске участника 4 закупки к участию в электронном аукционе</w:t>
      </w:r>
    </w:p>
    <w:p>
      <w:pPr>
        <w:pStyle w:val="Style24"/>
        <w:widowControl w:val="0"/>
        <w:keepNext w:val="0"/>
        <w:keepLines w:val="0"/>
        <w:shd w:val="clear" w:color="auto" w:fill="auto"/>
        <w:bidi w:val="0"/>
        <w:jc w:val="center"/>
        <w:spacing w:before="0" w:after="0" w:line="250" w:lineRule="exact"/>
        <w:ind w:left="0" w:right="0" w:firstLine="0"/>
      </w:pPr>
      <w:r>
        <w:rPr>
          <w:lang w:val="ru-RU" w:eastAsia="ru-RU" w:bidi="ru-RU"/>
          <w:w w:val="100"/>
          <w:spacing w:val="0"/>
          <w:color w:val="000000"/>
          <w:position w:val="0"/>
        </w:rPr>
        <w:t>Несоответствие информации, предусмотренной частью 3 статьи 66 Федерального закона № 44-ФЗ, требованиям документации об аукционе (Отказ по п. 2 ч. 4 ст. 67 44-ФЗ), а именно Указанная участником по показателю «Температура вспышки» значение «от 230 °С до 315°С» противоречит требованиям документации. Согласно инструкции по заполнению заявки, указывается только конкретное, точное и достоверное значение характеристик и функциональных свойств товара, конкретные показатели товара или диапазон значений, если это соответствует данным конкретного производителя,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pPr>
        <w:pStyle w:val="Style24"/>
        <w:widowControl w:val="0"/>
        <w:keepNext w:val="0"/>
        <w:keepLines w:val="0"/>
        <w:shd w:val="clear" w:color="auto" w:fill="auto"/>
        <w:bidi w:val="0"/>
        <w:jc w:val="center"/>
        <w:spacing w:before="0" w:after="0" w:line="250" w:lineRule="exact"/>
        <w:ind w:left="0" w:right="0" w:firstLine="0"/>
        <w:sectPr>
          <w:type w:val="continuous"/>
          <w:pgSz w:w="11906" w:h="16838"/>
          <w:pgMar w:top="1067" w:left="1266" w:right="1021" w:bottom="827" w:header="0" w:footer="3" w:gutter="0"/>
          <w:rtlGutter w:val="0"/>
          <w:cols w:num="2" w:space="720" w:equalWidth="0">
            <w:col w:w="3752" w:space="102"/>
            <w:col w:w="5765"/>
          </w:cols>
          <w:noEndnote/>
          <w:docGrid w:linePitch="360"/>
        </w:sectPr>
      </w:pPr>
      <w:r>
        <w:rPr>
          <w:lang w:val="ru-RU" w:eastAsia="ru-RU" w:bidi="ru-RU"/>
          <w:w w:val="100"/>
          <w:spacing w:val="0"/>
          <w:color w:val="000000"/>
          <w:position w:val="0"/>
        </w:rPr>
        <w:t>И т.д.</w:t>
      </w: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ind w:left="860" w:right="0" w:firstLine="0"/>
      </w:pPr>
      <w:r>
        <w:rPr>
          <w:lang w:val="ru-RU" w:eastAsia="ru-RU" w:bidi="ru-RU"/>
          <w:w w:val="100"/>
          <w:spacing w:val="0"/>
          <w:color w:val="000000"/>
          <w:position w:val="0"/>
        </w:rPr>
        <w:t>...» (цитата Протокола рассмотрения).</w:t>
      </w:r>
    </w:p>
    <w:p>
      <w:pPr>
        <w:pStyle w:val="Style5"/>
        <w:widowControl w:val="0"/>
        <w:keepNext w:val="0"/>
        <w:keepLines w:val="0"/>
        <w:shd w:val="clear" w:color="auto" w:fill="auto"/>
        <w:bidi w:val="0"/>
        <w:jc w:val="center"/>
        <w:spacing w:before="0" w:after="0"/>
        <w:ind w:left="0" w:right="320" w:firstLine="0"/>
      </w:pPr>
      <w:r>
        <w:rPr>
          <w:lang w:val="ru-RU" w:eastAsia="ru-RU" w:bidi="ru-RU"/>
          <w:w w:val="100"/>
          <w:spacing w:val="0"/>
          <w:color w:val="000000"/>
          <w:position w:val="0"/>
        </w:rPr>
        <w:t>Заказчиком в Техническом задании документации об Аукционе установлено:</w:t>
      </w:r>
    </w:p>
    <w:p>
      <w:pPr>
        <w:pStyle w:val="Style5"/>
        <w:widowControl w:val="0"/>
        <w:keepNext w:val="0"/>
        <w:keepLines w:val="0"/>
        <w:shd w:val="clear" w:color="auto" w:fill="auto"/>
        <w:bidi w:val="0"/>
        <w:jc w:val="left"/>
        <w:spacing w:before="0" w:after="0"/>
        <w:ind w:left="0" w:right="0" w:firstLine="0"/>
        <w:sectPr>
          <w:type w:val="continuous"/>
          <w:pgSz w:w="11906" w:h="16838"/>
          <w:pgMar w:top="1067" w:left="690" w:right="656" w:bottom="827" w:header="0" w:footer="3" w:gutter="0"/>
          <w:rtlGutter w:val="0"/>
          <w:cols w:space="720"/>
          <w:noEndnote/>
          <w:docGrid w:linePitch="360"/>
        </w:sectPr>
      </w:pPr>
      <w:r>
        <w:rPr>
          <w:lang w:val="ru-RU" w:eastAsia="ru-RU" w:bidi="ru-RU"/>
          <w:w w:val="100"/>
          <w:spacing w:val="0"/>
          <w:color w:val="000000"/>
          <w:position w:val="0"/>
        </w:rPr>
        <w:t>«.</w:t>
      </w:r>
    </w:p>
    <w:p>
      <w:pPr>
        <w:pStyle w:val="Style24"/>
        <w:tabs>
          <w:tab w:leader="underscore" w:pos="7172" w:val="left"/>
        </w:tabs>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 xml:space="preserve">Должны быть марки БНД-60/90, БНД 90/130. Индекс пенетрации должен быть от -1,0 до +1,0. Битумы должны иметь температуру вспышки не ниже 230 °С. Глубина проникновения иглы, при 0 °С должна быть не менее 20 0,1 мм. Растяжимость при 0 °С не менее 3,5 см. Температура размягчения по кольцу и шару не ниже 43 °С. Глубина проникновения иглы, при 25°С 61-90 0,1 мм, 91-130 0,1 мм. </w:t>
      </w:r>
      <w:r>
        <w:rPr>
          <w:rStyle w:val="CharStyle27"/>
        </w:rPr>
        <w:t>Растяжимость при 25 °С не должна быть менее 55 см.</w:t>
      </w:r>
      <w:r>
        <w:rPr>
          <w:lang w:val="ru-RU" w:eastAsia="ru-RU" w:bidi="ru-RU"/>
          <w:w w:val="100"/>
          <w:spacing w:val="0"/>
          <w:color w:val="000000"/>
          <w:position w:val="0"/>
        </w:rPr>
        <w:tab/>
      </w:r>
    </w:p>
    <w:p>
      <w:pPr>
        <w:pStyle w:val="Style24"/>
        <w:framePr w:w="2509" w:h="513" w:wrap="around" w:hAnchor="margin" w:x="316" w:y="-19"/>
        <w:widowControl w:val="0"/>
        <w:keepNext w:val="0"/>
        <w:keepLines w:val="0"/>
        <w:shd w:val="clear" w:color="auto" w:fill="auto"/>
        <w:bidi w:val="0"/>
        <w:jc w:val="left"/>
        <w:spacing w:before="0" w:after="0"/>
        <w:ind w:left="720" w:right="100"/>
      </w:pPr>
      <w:r>
        <w:rPr>
          <w:rStyle w:val="CharStyle26"/>
          <w:spacing w:val="0"/>
        </w:rPr>
        <w:t>4. Битумы нефтяные дорожные</w:t>
      </w:r>
    </w:p>
    <w:p>
      <w:pPr>
        <w:pStyle w:val="Style5"/>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 (цитата).</w:t>
      </w:r>
    </w:p>
    <w:p>
      <w:pPr>
        <w:pStyle w:val="Style5"/>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При этом документация об Аукционе содержит Инструкцию по заполнению первых частей заявок участников согласно которой: «.</w:t>
      </w:r>
    </w:p>
    <w:p>
      <w:pPr>
        <w:pStyle w:val="Style24"/>
        <w:numPr>
          <w:ilvl w:val="0"/>
          <w:numId w:val="9"/>
        </w:numPr>
        <w:widowControl w:val="0"/>
        <w:keepNext w:val="0"/>
        <w:keepLines w:val="0"/>
        <w:shd w:val="clear" w:color="auto" w:fill="auto"/>
        <w:bidi w:val="0"/>
        <w:jc w:val="both"/>
        <w:spacing w:before="0" w:after="300" w:line="274" w:lineRule="exact"/>
        <w:ind w:left="20" w:right="20" w:firstLine="860"/>
      </w:pPr>
      <w:r>
        <w:rPr>
          <w:lang w:val="ru-RU" w:eastAsia="ru-RU" w:bidi="ru-RU"/>
          <w:w w:val="100"/>
          <w:spacing w:val="0"/>
          <w:color w:val="000000"/>
          <w:position w:val="0"/>
        </w:rPr>
        <w:t xml:space="preserve">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аукциона не допускается указание словосочетаний «должен быть» / «не более», «менее» / «более» / «или», «+/-», «свыше», по отношению к характеристикам поставляемых товаров. Указывается только конкретное, точное и достоверное значение характеристик и функциональных свойств товара, конкретные показатели товара или диапазон значений, если это соответствует данным конкретного производителя,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pPr>
        <w:pStyle w:val="Style24"/>
        <w:numPr>
          <w:ilvl w:val="0"/>
          <w:numId w:val="9"/>
        </w:numPr>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 xml:space="preserve"> разъяснение и применение понятий, используемых в показателях материалов: «Не более» означает меньше установленного значения и включает крайнее максимальное значение; «Менее» означает меньше установленного значения и не включает крайнее максимальное значение; «от... до... » означает диапазон значений и включает крайние значения, подлежит указанию в диапазоне, что считается указанием конкретного показателя товара, если иное не уточнено в требованиях ГОСТ на данный товар; «Свыше» означает больше установленного значения и не включает крайнее минимальное значение. В графе "Иные значения показателей" символы «;» (точка с запятой) означает необходимость выбора значений, указываемых участником по своему усмотрению; символ «\» (косая черта) - следует читать как «и», символ «,» (запятая) следует читать как «и» (за исключением случаев, когда запятая отделяет целую часть числа от дробной или входит в наименование, обозначение самого материала, марки материала, установленного нормативной документацией или обычаями обозначения того или иного товара); «/» (косая черта) - следует читать как «или» (за исключением случаев, когда косая черта входит в наименование, обозначение самого материала, марки материала, установленного нормативной документацией или обычаями обозначения того или иного товара (например марки битумов, мастик и т.п.), или когда используется обыкновенная дробь, а также общепринятые обозначения процентов и соотношений).</w:t>
      </w:r>
    </w:p>
    <w:p>
      <w:pPr>
        <w:pStyle w:val="Style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(цитата).</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ходе заседания Комиссии представители Заказчика пояснили, что Заявителем в составе заявки не представлены конкретные показатели, т.к. ненадлежаще применена Инструкция по заполнению первых частей заявок участников.</w:t>
      </w:r>
    </w:p>
    <w:p>
      <w:pPr>
        <w:pStyle w:val="Style5"/>
        <w:widowControl w:val="0"/>
        <w:keepNext w:val="0"/>
        <w:keepLines w:val="0"/>
        <w:shd w:val="clear" w:color="auto" w:fill="auto"/>
        <w:bidi w:val="0"/>
        <w:jc w:val="both"/>
        <w:spacing w:before="0" w:after="0"/>
        <w:ind w:left="20" w:right="14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w:t>
      </w:r>
      <w:r>
        <w:rPr>
          <w:lang w:val="ru-RU" w:eastAsia="ru-RU" w:bidi="ru-RU"/>
          <w:w w:val="100"/>
          <w:spacing w:val="0"/>
          <w:color w:val="000000"/>
          <w:position w:val="0"/>
        </w:rPr>
        <w:t xml:space="preserve"> частями</w:t>
      </w:r>
      <w:r>
        <w:rPr>
          <w:lang w:val="ru-RU" w:eastAsia="ru-RU" w:bidi="ru-RU"/>
          <w:w w:val="100"/>
          <w:spacing w:val="0"/>
          <w:color w:val="000000"/>
          <w:position w:val="0"/>
        </w:rPr>
        <w:t xml:space="preserve"> </w:t>
      </w:r>
      <w:r>
        <w:rPr>
          <w:lang w:val="ru-RU" w:eastAsia="ru-RU" w:bidi="ru-RU"/>
          <w:w w:val="100"/>
          <w:spacing w:val="0"/>
          <w:color w:val="000000"/>
          <w:position w:val="0"/>
        </w:rPr>
        <w:t xml:space="preserve">3 </w:t>
      </w:r>
      <w:r>
        <w:rPr>
          <w:lang w:val="ru-RU" w:eastAsia="ru-RU" w:bidi="ru-RU"/>
          <w:w w:val="100"/>
          <w:spacing w:val="0"/>
          <w:color w:val="000000"/>
          <w:position w:val="0"/>
        </w:rPr>
        <w:t>-</w:t>
      </w:r>
      <w:r>
        <w:rPr>
          <w:lang w:val="ru-RU" w:eastAsia="ru-RU" w:bidi="ru-RU"/>
          <w:w w:val="100"/>
          <w:spacing w:val="0"/>
          <w:color w:val="000000"/>
          <w:position w:val="0"/>
        </w:rPr>
        <w:t xml:space="preserve"> 6 статьи 66 </w:t>
      </w:r>
      <w:r>
        <w:rPr>
          <w:lang w:val="ru-RU" w:eastAsia="ru-RU" w:bidi="ru-RU"/>
          <w:w w:val="100"/>
          <w:spacing w:val="0"/>
          <w:color w:val="000000"/>
          <w:position w:val="0"/>
        </w:rPr>
        <w:t>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br w:type="page"/>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Комиссия, изучив документацию об Аукционе, установила, что документация об Аукционе содержит ненадлежащую Инструкцию по заполнению заявки на участие в Аукционе с указанием об использовании участниками условных обозначений «не ниже», и применение обозначения, знака и т.п. при описании объекта закупки в первой части заявки.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бездействие Заказчика, не установившего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Отсутствие надлежащей Инструкции по заполнению заявки не позволило Заявителю надлежащим образом заполнить первую часть заявки согласно требованиям Заказчика, в результате чего Аукционная комиссия Заказчика отклонила заявку Заявителя.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изучив документацию об Аукционе, рассмотрев первые части заявок участников, в том числе заявку Заявителя под порядковым номером «4», с учетом пояснений представителей Заказчика, приходит к выводу, что участнику отказано в допуске к дальнейшему участию в Аукционе необоснованно.</w:t>
      </w:r>
    </w:p>
    <w:p>
      <w:pPr>
        <w:pStyle w:val="Style5"/>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Исходя из приведенного выше, Комиссия приходит к выводу, что действия Аукционной комиссии Заказчика по рассмотрению заявки с порядковым номером «4» и признание данной заявки не соответствующей требованиям, установленным документацией об Аукционе, нарушают требования статей 66, 67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5"/>
        <w:numPr>
          <w:ilvl w:val="0"/>
          <w:numId w:val="11"/>
        </w:numPr>
        <w:tabs>
          <w:tab w:leader="none" w:pos="119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Заказчиком в техническом задании документации об Аукционе установлены требования к товарам (материалам) и (или) показателям, значения которых по мнению Заявителя являются избыточными, что нарушает требования Закона о контрактной системе и приводит к невозможности сформировать и подать заявку на участие в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105 Закона о контрактной системе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По истечении указанного срока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В соответствии с извещением о проведении Аукциона дата окончания срока подачи заявок на участие в Аукционе установлены Заказчиком 26.10.2017 08:00. Вместе с тем, жалоба Заявителя подана в Крымское </w:t>
      </w:r>
      <w:r>
        <w:rPr>
          <w:rStyle w:val="CharStyle28"/>
        </w:rPr>
        <w:t>УФАС</w:t>
      </w:r>
      <w:r>
        <w:rPr>
          <w:lang w:val="ru-RU" w:eastAsia="ru-RU" w:bidi="ru-RU"/>
          <w:w w:val="100"/>
          <w:spacing w:val="0"/>
          <w:color w:val="000000"/>
          <w:position w:val="0"/>
        </w:rPr>
        <w:t xml:space="preserve"> России 31.10.2017 15:51 (вх. №4755/09 от 31.10.2017), то есть после окончания срока подачи заявок на участие в Аукционе.</w:t>
      </w:r>
    </w:p>
    <w:p>
      <w:pPr>
        <w:pStyle w:val="Style5"/>
        <w:widowControl w:val="0"/>
        <w:keepNext w:val="0"/>
        <w:keepLines w:val="0"/>
        <w:shd w:val="clear" w:color="auto" w:fill="auto"/>
        <w:bidi w:val="0"/>
        <w:jc w:val="both"/>
        <w:spacing w:before="0" w:after="64" w:line="326" w:lineRule="exact"/>
        <w:ind w:left="20" w:right="20" w:firstLine="860"/>
      </w:pPr>
      <w:r>
        <w:rPr>
          <w:lang w:val="ru-RU" w:eastAsia="ru-RU" w:bidi="ru-RU"/>
          <w:w w:val="100"/>
          <w:spacing w:val="0"/>
          <w:color w:val="000000"/>
          <w:position w:val="0"/>
        </w:rPr>
        <w:t>Таким образом, довод Заявителя о том, что положения документации об Аукционе не соответствуют требованиям законодательства Российской Федерации о контрактной системе в сфере закупок, не подлежит рассмотрению Комиссией.</w:t>
      </w:r>
    </w:p>
    <w:p>
      <w:pPr>
        <w:pStyle w:val="Style5"/>
        <w:numPr>
          <w:ilvl w:val="0"/>
          <w:numId w:val="11"/>
        </w:numPr>
        <w:tabs>
          <w:tab w:leader="none" w:pos="1192" w:val="left"/>
        </w:tabs>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5"/>
        <w:numPr>
          <w:ilvl w:val="1"/>
          <w:numId w:val="11"/>
        </w:numPr>
        <w:tabs>
          <w:tab w:leader="none" w:pos="1455"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5"/>
        <w:numPr>
          <w:ilvl w:val="0"/>
          <w:numId w:val="1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1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5"/>
        <w:tabs>
          <w:tab w:leader="none" w:pos="2996" w:val="left"/>
          <w:tab w:leader="underscore" w:pos="10215"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следующее требование о соответствии товаров, используемых при выполнении </w:t>
      </w:r>
      <w:r>
        <w:rPr>
          <w:rStyle w:val="CharStyle21"/>
        </w:rPr>
        <w:t xml:space="preserve">работ, например: </w:t>
      </w:r>
      <w:r>
        <w:rPr>
          <w:rStyle w:val="CharStyle22"/>
        </w:rPr>
        <w:t>«...</w:t>
      </w:r>
      <w:r>
        <w:rPr>
          <w:rStyle w:val="CharStyle23"/>
          <w:lang w:val="ru-RU" w:eastAsia="ru-RU" w:bidi="ru-RU"/>
        </w:rPr>
        <w:tab/>
        <w:tab/>
      </w:r>
    </w:p>
    <w:tbl>
      <w:tblPr>
        <w:tblOverlap w:val="never"/>
        <w:tblLayout w:type="fixed"/>
        <w:jc w:val="center"/>
      </w:tblPr>
      <w:tblGrid>
        <w:gridCol w:w="715"/>
        <w:gridCol w:w="2270"/>
        <w:gridCol w:w="7238"/>
      </w:tblGrid>
      <w:tr>
        <w:trPr>
          <w:trHeight w:val="528" w:hRule="exact"/>
        </w:trPr>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60" w:line="220" w:lineRule="exact"/>
              <w:ind w:left="280" w:right="0" w:firstLine="0"/>
            </w:pPr>
            <w:r>
              <w:rPr>
                <w:rStyle w:val="CharStyle29"/>
              </w:rPr>
              <w:t>№</w:t>
            </w:r>
          </w:p>
          <w:p>
            <w:pPr>
              <w:pStyle w:val="Style5"/>
              <w:framePr w:w="10224" w:wrap="notBeside" w:vAnchor="text" w:hAnchor="text" w:xAlign="center" w:y="1"/>
              <w:widowControl w:val="0"/>
              <w:keepNext w:val="0"/>
              <w:keepLines w:val="0"/>
              <w:shd w:val="clear" w:color="auto" w:fill="auto"/>
              <w:bidi w:val="0"/>
              <w:jc w:val="left"/>
              <w:spacing w:before="60" w:after="0" w:line="220" w:lineRule="exact"/>
              <w:ind w:left="280" w:right="0" w:firstLine="0"/>
            </w:pPr>
            <w:r>
              <w:rPr>
                <w:rStyle w:val="CharStyle29"/>
              </w:rPr>
              <w:t>п/п</w:t>
            </w:r>
          </w:p>
        </w:tc>
        <w:tc>
          <w:tcPr>
            <w:shd w:val="clear" w:color="auto" w:fill="FFFFFF"/>
            <w:tcBorders>
              <w:left w:val="single" w:sz="4"/>
              <w:top w:val="single" w:sz="4"/>
            </w:tcBorders>
            <w:vAlign w:val="center"/>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9"/>
              </w:rPr>
              <w:t>Наименование товара</w:t>
            </w:r>
          </w:p>
        </w:tc>
        <w:tc>
          <w:tcPr>
            <w:shd w:val="clear" w:color="auto" w:fill="FFFFFF"/>
            <w:tcBorders>
              <w:left w:val="single" w:sz="4"/>
              <w:right w:val="single" w:sz="4"/>
              <w:top w:val="single" w:sz="4"/>
            </w:tcBorders>
            <w:vAlign w:val="center"/>
          </w:tcPr>
          <w:p>
            <w:pPr>
              <w:pStyle w:val="Style5"/>
              <w:framePr w:w="1022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Требуемые показатели</w:t>
            </w:r>
          </w:p>
        </w:tc>
      </w:tr>
      <w:tr>
        <w:trPr>
          <w:trHeight w:val="1526" w:hRule="exact"/>
        </w:trPr>
        <w:tc>
          <w:tcPr>
            <w:shd w:val="clear" w:color="auto" w:fill="FFFFFF"/>
            <w:tcBorders>
              <w:left w:val="single" w:sz="4"/>
              <w:top w:val="single" w:sz="4"/>
            </w:tcBorders>
            <w:vAlign w:val="top"/>
          </w:tcPr>
          <w:p>
            <w:pPr>
              <w:pStyle w:val="Style5"/>
              <w:framePr w:w="10224" w:wrap="notBeside" w:vAnchor="text" w:hAnchor="text" w:xAlign="center" w:y="1"/>
              <w:widowControl w:val="0"/>
              <w:keepNext w:val="0"/>
              <w:keepLines w:val="0"/>
              <w:shd w:val="clear" w:color="auto" w:fill="auto"/>
              <w:bidi w:val="0"/>
              <w:jc w:val="right"/>
              <w:spacing w:before="0" w:after="0" w:line="220" w:lineRule="exact"/>
              <w:ind w:left="0" w:right="260" w:firstLine="0"/>
            </w:pPr>
            <w:r>
              <w:rPr>
                <w:rStyle w:val="CharStyle29"/>
              </w:rPr>
              <w:t>1.</w:t>
            </w:r>
          </w:p>
        </w:tc>
        <w:tc>
          <w:tcPr>
            <w:shd w:val="clear" w:color="auto" w:fill="FFFFFF"/>
            <w:tcBorders>
              <w:left w:val="single" w:sz="4"/>
              <w:top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9"/>
              </w:rPr>
              <w:t>Битумы нефтяные дорожные жидкие</w:t>
            </w:r>
          </w:p>
        </w:tc>
        <w:tc>
          <w:tcPr>
            <w:shd w:val="clear" w:color="auto" w:fill="FFFFFF"/>
            <w:tcBorders>
              <w:left w:val="single" w:sz="4"/>
              <w:righ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9"/>
              </w:rPr>
              <w:t>... Битумы должны иметь температуру вспышки, определяемую в открытом тигле не ниже 50 °С. Условная вязкость по вискозиметру с отверстием 5 мм при 60 °С должна быть не менее 71 и не более 130 с. Количество испарившегося разжижителя должно быть не менее 7%. Битумы должны иметь температуру размягчения остатка после определения количества испарившегося разжижителя не ниже 29 °С.</w:t>
            </w:r>
          </w:p>
        </w:tc>
      </w:tr>
      <w:tr>
        <w:trPr>
          <w:trHeight w:val="6600" w:hRule="exact"/>
        </w:trPr>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29"/>
              </w:rPr>
              <w:t>2.</w:t>
            </w:r>
          </w:p>
        </w:tc>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60" w:line="220" w:lineRule="exact"/>
              <w:ind w:left="120" w:right="0" w:firstLine="0"/>
            </w:pPr>
            <w:r>
              <w:rPr>
                <w:rStyle w:val="CharStyle29"/>
              </w:rPr>
              <w:t>Смеси</w:t>
            </w:r>
          </w:p>
          <w:p>
            <w:pPr>
              <w:pStyle w:val="Style5"/>
              <w:framePr w:w="10224" w:wrap="notBeside" w:vAnchor="text" w:hAnchor="text" w:xAlign="center" w:y="1"/>
              <w:widowControl w:val="0"/>
              <w:keepNext w:val="0"/>
              <w:keepLines w:val="0"/>
              <w:shd w:val="clear" w:color="auto" w:fill="auto"/>
              <w:bidi w:val="0"/>
              <w:jc w:val="left"/>
              <w:spacing w:before="60" w:after="0" w:line="220" w:lineRule="exact"/>
              <w:ind w:left="120" w:right="0" w:firstLine="0"/>
            </w:pPr>
            <w:r>
              <w:rPr>
                <w:rStyle w:val="CharStyle29"/>
              </w:rPr>
              <w:t>асфальтобетонные</w:t>
            </w:r>
          </w:p>
        </w:tc>
        <w:tc>
          <w:tcPr>
            <w:shd w:val="clear" w:color="auto" w:fill="FFFFFF"/>
            <w:tcBorders>
              <w:left w:val="single" w:sz="4"/>
              <w:right w:val="single" w:sz="4"/>
              <w:top w:val="single" w:sz="4"/>
              <w:bottom w:val="single" w:sz="4"/>
            </w:tcBorders>
            <w:vAlign w:val="bottom"/>
          </w:tcPr>
          <w:p>
            <w:pPr>
              <w:pStyle w:val="Style5"/>
              <w:framePr w:w="1022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30"/>
              </w:rPr>
              <w:t>....</w:t>
            </w:r>
            <w:r>
              <w:rPr>
                <w:rStyle w:val="CharStyle29"/>
              </w:rPr>
              <w:t xml:space="preserve"> Асфальтобетонная смесь должна иметь остаточную пористость свыше</w:t>
            </w:r>
          </w:p>
          <w:p>
            <w:pPr>
              <w:pStyle w:val="Style5"/>
              <w:numPr>
                <w:ilvl w:val="0"/>
                <w:numId w:val="17"/>
              </w:numPr>
              <w:framePr w:w="10224" w:wrap="notBeside" w:vAnchor="text" w:hAnchor="text" w:xAlign="center" w:y="1"/>
              <w:tabs>
                <w:tab w:leader="none" w:pos="456" w:val="left"/>
              </w:tabs>
              <w:widowControl w:val="0"/>
              <w:keepNext w:val="0"/>
              <w:keepLines w:val="0"/>
              <w:shd w:val="clear" w:color="auto" w:fill="auto"/>
              <w:bidi w:val="0"/>
              <w:jc w:val="left"/>
              <w:spacing w:before="0" w:after="0" w:line="250" w:lineRule="exact"/>
              <w:ind w:left="120" w:right="0" w:firstLine="0"/>
            </w:pPr>
            <w:r>
              <w:rPr>
                <w:rStyle w:val="CharStyle29"/>
              </w:rPr>
              <w:t>% до 5,0 %. Асфальтобетонные смеси должны обладать следующим непрерывным зерновым составом минеральной части: содержание зёрен не более 5 мм должно быть 50-60 % по массе, содержание зёрен не более</w:t>
            </w:r>
          </w:p>
          <w:p>
            <w:pPr>
              <w:pStyle w:val="Style5"/>
              <w:numPr>
                <w:ilvl w:val="0"/>
                <w:numId w:val="19"/>
              </w:numPr>
              <w:framePr w:w="10224" w:wrap="notBeside" w:vAnchor="text" w:hAnchor="text" w:xAlign="center" w:y="1"/>
              <w:tabs>
                <w:tab w:leader="none" w:pos="456" w:val="left"/>
              </w:tabs>
              <w:widowControl w:val="0"/>
              <w:keepNext w:val="0"/>
              <w:keepLines w:val="0"/>
              <w:shd w:val="clear" w:color="auto" w:fill="auto"/>
              <w:bidi w:val="0"/>
              <w:jc w:val="left"/>
              <w:spacing w:before="0" w:after="0" w:line="250" w:lineRule="exact"/>
              <w:ind w:left="120" w:right="0" w:firstLine="0"/>
            </w:pPr>
            <w:r>
              <w:rPr>
                <w:rStyle w:val="CharStyle29"/>
              </w:rPr>
              <w:t>мм должно быть 38-48 % по массе, содержание зёрен не более 1,25 мм 28-37 % по массе, содержание зёрен не более 0,071 мм 6-12 % по массе, содержание зёрен не более 0,16 мм 10-16 % по массе, содержание зёрен не более 0,63 мм 20-28 % по массе, содержание зёрен не более 0,315 мм должно быть 14-22 % по массе, содержание зёрен не более 15 мм 80-100 % по массе, содержание зёрен не более 10 мм 70-100 % по массе, содержание зёрен не более 20 мм 90-100 % по массе. Пористость минеральной части асфальтобетона должна быть 14-19 %. Наибольший диаметр минеральных зерен должен быть до 20 мм. При отгрузке потребителю асфальтобетонная смесь должна иметь температуру не менее 140 °С и не более 155 °С. Песок применяемый при изготовлении асфальтобетонной смеси, должен иметь марку по прочности не ниже 600. При изготовлении асфальтобетонной смеси, в зависимости от содержания поверхностно-активных веществ, должен быть применен активированный/неактивированный минеральный порошок марки МП-1; МП-2. Содержание в минеральном порошке, применяемом при изготовлении асфальтобетонной смеси, зёрен мельче 1,25 мм должно быть не менее 95 % по массе, пористость минерального порошка должна быть не более 40 %. Набухание образцов из смеси порошка с битумом не более 3,0 %. Содержание в минеральном порошке, применяемом при изготовлении асфальтобетонной смеси, зёрен мельче 0,315 мм должно быть не менее 80 %. Влажность минерального порошка не должна быть</w:t>
            </w:r>
          </w:p>
        </w:tc>
      </w:tr>
    </w:tbl>
    <w:p>
      <w:pPr>
        <w:widowControl w:val="0"/>
        <w:rPr>
          <w:sz w:val="2"/>
          <w:szCs w:val="2"/>
        </w:rPr>
      </w:pPr>
    </w:p>
    <w:tbl>
      <w:tblPr>
        <w:tblOverlap w:val="never"/>
        <w:tblLayout w:type="fixed"/>
        <w:jc w:val="center"/>
      </w:tblPr>
      <w:tblGrid>
        <w:gridCol w:w="715"/>
        <w:gridCol w:w="2270"/>
        <w:gridCol w:w="7238"/>
      </w:tblGrid>
      <w:tr>
        <w:trPr>
          <w:trHeight w:val="3811"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9"/>
              </w:rPr>
              <w:t>более 2,5 % по массе или не должна нормироваться. Водостойкость образцов из смеси порошка с битумом, определяемая только для МП-2, должна быть не более 0,7 %. Показатель битумоемкости минерального порошка, в случае применения марки МП-2, не должен превышать 80 г. При изготовлении асфальтобетонной смеси должен быть применен битум марки БН 60/90 или БНД 90/130 или БНД 60/90. Глубина проникания иглы при 25 °С для битума, применяемого при изготовлении асфальтобетонной смеси, должна быть не менее 61 0,1 мм и не более 130 0,1 мм. Температура вспышки для битума, применяемого при изготовлении асфальтобетонной смеси должна быть не ниже 230 °С. Температура размягчения по кольцу и шару для битума, применяемого при изготовлении асфальтобетонной смеси, не должна быть ниже 43 °С. Индекс пенетрации должен быть от -1,0 до +1,0 или от -1,5 до +1,0. Содержание битума в асфальтобетонной смеси не должно быть менее 5,0 % по массе.</w:t>
            </w:r>
          </w:p>
        </w:tc>
      </w:tr>
      <w:tr>
        <w:trPr>
          <w:trHeight w:val="259" w:hRule="exact"/>
        </w:trPr>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9"/>
              </w:rPr>
              <w:t>3.</w:t>
            </w:r>
          </w:p>
        </w:tc>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9"/>
              </w:rPr>
              <w:t>Бруски обрезные</w:t>
            </w:r>
          </w:p>
        </w:tc>
        <w:tc>
          <w:tcPr>
            <w:shd w:val="clear" w:color="auto" w:fill="FFFFFF"/>
            <w:tcBorders>
              <w:left w:val="single" w:sz="4"/>
              <w:righ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9"/>
              </w:rPr>
              <w:t xml:space="preserve">... Шероховатость поверхности </w:t>
            </w:r>
            <w:r>
              <w:rPr>
                <w:rStyle w:val="CharStyle29"/>
                <w:lang w:val="en-US" w:eastAsia="en-US" w:bidi="en-US"/>
              </w:rPr>
              <w:t xml:space="preserve">Rmmax </w:t>
            </w:r>
            <w:r>
              <w:rPr>
                <w:rStyle w:val="CharStyle29"/>
              </w:rPr>
              <w:t>не должна быть более 1250 мкм.</w:t>
            </w:r>
          </w:p>
        </w:tc>
      </w:tr>
      <w:tr>
        <w:trPr>
          <w:trHeight w:val="1541" w:hRule="exact"/>
        </w:trPr>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9"/>
              </w:rPr>
              <w:t>4.</w:t>
            </w:r>
          </w:p>
        </w:tc>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59" w:lineRule="exact"/>
              <w:ind w:left="120" w:right="0" w:firstLine="0"/>
            </w:pPr>
            <w:r>
              <w:rPr>
                <w:rStyle w:val="CharStyle29"/>
              </w:rPr>
              <w:t>Битумы нефтяные дорожные</w:t>
            </w:r>
          </w:p>
        </w:tc>
        <w:tc>
          <w:tcPr>
            <w:shd w:val="clear" w:color="auto" w:fill="FFFFFF"/>
            <w:tcBorders>
              <w:left w:val="single" w:sz="4"/>
              <w:right w:val="single" w:sz="4"/>
              <w:top w:val="single" w:sz="4"/>
              <w:bottom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30"/>
              </w:rPr>
              <w:t>....</w:t>
            </w:r>
            <w:r>
              <w:rPr>
                <w:rStyle w:val="CharStyle29"/>
              </w:rPr>
              <w:t xml:space="preserve"> Индекс пенетрации должен быть от -1,0 до +1,0. Битумы должны иметь температуру вспышки не ниже 230 °С. Глубина проникновения иглы, при 0 °С должна быть не менее 20 0,1 мм. Растяжимость при 0 °С не менее 3,5 см. Температура размягчения по кольцу и шару не ниже 43 °С. Глубина проникновения иглы, при 25°С 61-90 0,1 мм, 91-130 0,1 мм. Растяжимость при 25 °С не должна быть менее 55 см.</w:t>
            </w:r>
          </w:p>
        </w:tc>
      </w:tr>
    </w:tbl>
    <w:p>
      <w:pPr>
        <w:pStyle w:val="Style31"/>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33"/>
        </w:rPr>
        <w:t>...»</w:t>
      </w:r>
      <w:r>
        <w:rPr>
          <w:lang w:val="ru-RU" w:eastAsia="ru-RU" w:bidi="ru-RU"/>
          <w:w w:val="100"/>
          <w:spacing w:val="0"/>
          <w:color w:val="000000"/>
          <w:position w:val="0"/>
        </w:rPr>
        <w:t xml:space="preserve"> (цитаты).</w:t>
      </w:r>
    </w:p>
    <w:p>
      <w:pPr>
        <w:widowControl w:val="0"/>
        <w:rPr>
          <w:sz w:val="2"/>
          <w:szCs w:val="2"/>
        </w:rPr>
      </w:pP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приходит к выводу о том, что Заказчиком установлены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непредусмотренные частью 6 статьи 66 Закона о контрактной системе конкретных показателей технологических процессов изготовления указанных товаров, результатов испытаний, компонентного состава товаров (не ограничиваясь приведенными в решении примерами).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веществах, результатах испытаний, технологических процессов, материалов, применяемых при изготовлении такого товара.</w:t>
      </w:r>
    </w:p>
    <w:p>
      <w:pPr>
        <w:pStyle w:val="Style5"/>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5"/>
        <w:numPr>
          <w:ilvl w:val="1"/>
          <w:numId w:val="11"/>
        </w:numPr>
        <w:tabs>
          <w:tab w:leader="none" w:pos="1403"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изменяются.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Положения Закона о контрактной системе не предусматривают требований к определению конкретной формы инструкции.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Комиссия, изучив документацию об Аукционе, установила, что инструкция по заполнению заявки на участие в Аукционе документации об Аукционе не содержит описание действий участника закупки при использовании Заказчиком обозначений (знаков):</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обозначения «-», установленного Заказчиком в значении показателя «Бруски должны быть то</w:t>
      </w:r>
      <w:r>
        <w:rPr>
          <w:rStyle w:val="CharStyle21"/>
        </w:rPr>
        <w:t>лщи</w:t>
      </w:r>
      <w:r>
        <w:rPr>
          <w:lang w:val="ru-RU" w:eastAsia="ru-RU" w:bidi="ru-RU"/>
          <w:w w:val="100"/>
          <w:spacing w:val="0"/>
          <w:color w:val="000000"/>
          <w:position w:val="0"/>
        </w:rPr>
        <w:t xml:space="preserve">ной 40-75 мм, </w:t>
      </w:r>
      <w:r>
        <w:rPr>
          <w:rStyle w:val="CharStyle21"/>
        </w:rPr>
        <w:t>ши</w:t>
      </w:r>
      <w:r>
        <w:rPr>
          <w:lang w:val="ru-RU" w:eastAsia="ru-RU" w:bidi="ru-RU"/>
          <w:w w:val="100"/>
          <w:spacing w:val="0"/>
          <w:color w:val="000000"/>
          <w:position w:val="0"/>
        </w:rPr>
        <w:t>риной 75-150 мм» по номенклатурной позиции № 3 «Бруски обрезные»;</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обозначения «не ниже», установленного Заказчиком в значении показателя «Температура размягчения по кольцу и шару не ниже 43 °С» по номенклатурной позиции №4 «Битумы нефтяные дорожные», а также действий участника закупки в данном случае.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Отсутствие надлежащей инструкции по заполнению заявки на участие в Аукционе ограничивает возможность участников закупки надлежаще подготовить заявку на участие в Аукционе.</w:t>
      </w:r>
    </w:p>
    <w:p>
      <w:pPr>
        <w:pStyle w:val="Style5"/>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numPr>
          <w:ilvl w:val="1"/>
          <w:numId w:val="11"/>
        </w:numPr>
        <w:tabs>
          <w:tab w:leader="none" w:pos="142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5"/>
        <w:numPr>
          <w:ilvl w:val="0"/>
          <w:numId w:val="2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5"/>
        <w:numPr>
          <w:ilvl w:val="0"/>
          <w:numId w:val="2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Протоколом рассмотрения заявок на участие в аукционе в электронной форме от 27.10.2017 № 0575600000317000080-1 (далее - Протокол рассмотрения) участникам закупки с порядковыми номерами заявок «8», «10» отказано в допуске к дальнейшему участию в Аукционе по причине не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что противоречит требованиям части 6 статьи 66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Кроме того, участникам закупки с порядковым номерам заявки «1», «2», «3», «7» отказано в допуске к дальнейшему участию в Аукционе по причине не предоставления показателей и их значений, как в виде одного значения, диапазона значений, так и сохранения неизменного значения т.к. ненадлежаще применена Инструкция по заполнению первых частей заявок участников.</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Комиссия, изучив документацию об Аукционе, установила, что документация об Аукционе содержит ненадлежащую Инструкцию по заполнению заявки на участие в Аукционе с указанием об использовании участниками условных обозначений, и применение обозначений, знаков и т.п. при описании объекта закупки в первой части заявки.</w:t>
      </w:r>
    </w:p>
    <w:p>
      <w:pPr>
        <w:pStyle w:val="Style5"/>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Исходя из приведенного выше, Комиссия приходит к выводу, что действия Аукционной комиссии Заказчика по рассмотрению заявок с порядковыми номерами «1», «2», «3», «7», «8», «10» и признание данных заявок не соответствующими требованиям, установленным документацией об Аукционе, нарушают требования статей 66, 67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5"/>
        <w:numPr>
          <w:ilvl w:val="1"/>
          <w:numId w:val="11"/>
        </w:numPr>
        <w:tabs>
          <w:tab w:leader="none" w:pos="143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Пунктом 7 статьи 42 Закона о контрактной системе определено, что в извещении об осуществлении закупки должна содержаться информация о размере и порядке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Законом о контрактной системе).</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заседании Комиссии, установлено, что в извещении о проведении Аукциона Заказчик указал:</w:t>
      </w:r>
    </w:p>
    <w:p>
      <w:pPr>
        <w:pStyle w:val="Style31"/>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w:t>
      </w:r>
    </w:p>
    <w:tbl>
      <w:tblPr>
        <w:tblOverlap w:val="never"/>
        <w:tblLayout w:type="fixed"/>
        <w:jc w:val="center"/>
      </w:tblPr>
      <w:tblGrid>
        <w:gridCol w:w="5923"/>
        <w:gridCol w:w="4301"/>
      </w:tblGrid>
      <w:tr>
        <w:trPr>
          <w:trHeight w:val="336" w:hRule="exact"/>
        </w:trPr>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34"/>
              </w:rPr>
              <w:t>Обеспечение заявок</w:t>
            </w:r>
          </w:p>
        </w:tc>
        <w:tc>
          <w:tcPr>
            <w:shd w:val="clear" w:color="auto" w:fill="FFFFFF"/>
            <w:tcBorders>
              <w:left w:val="single" w:sz="4"/>
            </w:tcBorders>
            <w:vAlign w:val="top"/>
          </w:tcPr>
          <w:p>
            <w:pPr>
              <w:framePr w:w="10224" w:wrap="notBeside" w:vAnchor="text" w:hAnchor="text" w:xAlign="center" w:y="1"/>
              <w:widowControl w:val="0"/>
              <w:rPr>
                <w:sz w:val="10"/>
                <w:szCs w:val="10"/>
              </w:rPr>
            </w:pPr>
          </w:p>
        </w:tc>
      </w:tr>
      <w:tr>
        <w:trPr>
          <w:trHeight w:val="298" w:hRule="exact"/>
        </w:trPr>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29"/>
              </w:rPr>
              <w:t>Требуется обеспечение заявок</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307"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86" w:hRule="exact"/>
        </w:trPr>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54" w:lineRule="exact"/>
              <w:ind w:left="280" w:right="0" w:firstLine="0"/>
            </w:pPr>
            <w:r>
              <w:rPr>
                <w:rStyle w:val="CharStyle29"/>
              </w:rPr>
              <w:t>Порядок внесения денежных средств в качестве обеспечения заявок</w:t>
            </w:r>
          </w:p>
        </w:tc>
        <w:tc>
          <w:tcPr>
            <w:shd w:val="clear" w:color="auto" w:fill="FFFFFF"/>
            <w:tcBorders>
              <w:left w:val="single" w:sz="4"/>
              <w:righ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54" w:lineRule="exact"/>
              <w:ind w:left="280" w:right="0" w:firstLine="0"/>
            </w:pPr>
            <w:r>
              <w:rPr>
                <w:rStyle w:val="CharStyle29"/>
              </w:rPr>
              <w:t>В соответствии с частью 8 статьи 44 Федерального закона №44-ФЗ</w:t>
            </w:r>
          </w:p>
        </w:tc>
      </w:tr>
    </w:tbl>
    <w:p>
      <w:pPr>
        <w:pStyle w:val="Style31"/>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извещения о проведении Аукциона).</w:t>
      </w:r>
    </w:p>
    <w:p>
      <w:pPr>
        <w:widowControl w:val="0"/>
        <w:rPr>
          <w:sz w:val="2"/>
          <w:szCs w:val="2"/>
        </w:rPr>
      </w:pPr>
    </w:p>
    <w:p>
      <w:pPr>
        <w:pStyle w:val="Style31"/>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35"/>
        </w:rPr>
        <w:t>При этом в документации об Аукционе Заказчик указал: «.</w:t>
      </w:r>
    </w:p>
    <w:tbl>
      <w:tblPr>
        <w:tblOverlap w:val="never"/>
        <w:tblLayout w:type="fixed"/>
        <w:jc w:val="center"/>
      </w:tblPr>
      <w:tblGrid>
        <w:gridCol w:w="715"/>
        <w:gridCol w:w="2981"/>
        <w:gridCol w:w="6528"/>
      </w:tblGrid>
      <w:tr>
        <w:trPr>
          <w:trHeight w:val="816" w:hRule="exact"/>
        </w:trPr>
        <w:tc>
          <w:tcPr>
            <w:shd w:val="clear" w:color="auto" w:fill="FFFFFF"/>
            <w:tcBorders>
              <w:left w:val="single" w:sz="4"/>
              <w:top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29"/>
              </w:rPr>
              <w:t>1.</w:t>
            </w:r>
          </w:p>
        </w:tc>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9"/>
              </w:rPr>
              <w:t>Размер обеспечения заявок на участие в электронном аукционе</w:t>
            </w:r>
          </w:p>
        </w:tc>
        <w:tc>
          <w:tcPr>
            <w:shd w:val="clear" w:color="auto" w:fill="FFFFFF"/>
            <w:tcBorders>
              <w:left w:val="single" w:sz="4"/>
              <w:right w:val="single" w:sz="4"/>
              <w:top w:val="single" w:sz="4"/>
            </w:tcBorders>
            <w:vAlign w:val="top"/>
          </w:tcPr>
          <w:p>
            <w:pPr>
              <w:pStyle w:val="Style5"/>
              <w:framePr w:w="10224" w:wrap="notBeside" w:vAnchor="text" w:hAnchor="text" w:xAlign="center" w:y="1"/>
              <w:widowControl w:val="0"/>
              <w:keepNext w:val="0"/>
              <w:keepLines w:val="0"/>
              <w:shd w:val="clear" w:color="auto" w:fill="auto"/>
              <w:bidi w:val="0"/>
              <w:jc w:val="both"/>
              <w:spacing w:before="0" w:after="0" w:line="278" w:lineRule="exact"/>
              <w:ind w:left="0" w:right="0" w:firstLine="0"/>
            </w:pPr>
            <w:r>
              <w:rPr>
                <w:rStyle w:val="CharStyle29"/>
              </w:rPr>
              <w:t>1%, что составляет 19275,69 (девятнадцать тысяч двести семьдесят пять ) рублей, 69 копеек</w:t>
            </w:r>
          </w:p>
        </w:tc>
      </w:tr>
      <w:tr>
        <w:trPr>
          <w:trHeight w:val="1032" w:hRule="exact"/>
        </w:trPr>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29"/>
              </w:rPr>
              <w:t>2.</w:t>
            </w:r>
          </w:p>
        </w:tc>
        <w:tc>
          <w:tcPr>
            <w:shd w:val="clear" w:color="auto" w:fill="FFFFFF"/>
            <w:tcBorders>
              <w:left w:val="single" w:sz="4"/>
              <w:top w:val="single" w:sz="4"/>
              <w:bottom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9"/>
              </w:rPr>
              <w:t>Внесение денежных средств в качестве обеспечения заявок на участие в электронном аукционе</w:t>
            </w:r>
          </w:p>
        </w:tc>
        <w:tc>
          <w:tcPr>
            <w:shd w:val="clear" w:color="auto" w:fill="FFFFFF"/>
            <w:tcBorders>
              <w:left w:val="single" w:sz="4"/>
              <w:righ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9"/>
              </w:rPr>
              <w:t>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w:t>
            </w:r>
          </w:p>
        </w:tc>
      </w:tr>
    </w:tbl>
    <w:p>
      <w:pPr>
        <w:pStyle w:val="Style31"/>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5"/>
        <w:widowControl w:val="0"/>
        <w:keepNext w:val="0"/>
        <w:keepLines w:val="0"/>
        <w:shd w:val="clear" w:color="auto" w:fill="auto"/>
        <w:bidi w:val="0"/>
        <w:jc w:val="both"/>
        <w:spacing w:before="0" w:after="60"/>
        <w:ind w:left="60" w:right="80" w:firstLine="860"/>
      </w:pPr>
      <w:r>
        <w:rPr>
          <w:lang w:val="ru-RU" w:eastAsia="ru-RU" w:bidi="ru-RU"/>
          <w:w w:val="100"/>
          <w:spacing w:val="0"/>
          <w:color w:val="000000"/>
          <w:position w:val="0"/>
        </w:rPr>
        <w:t>На основании изложенного, Комиссия приходит к выводу, что Заказчиком в извещении о проведении Аукциона не указана информация о порядке внесения денежных средств в качестве обеспечения заявки, что нарушает требования пункта 7 статьи 42, части 5 статьи 63,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numPr>
          <w:ilvl w:val="1"/>
          <w:numId w:val="11"/>
        </w:numPr>
        <w:tabs>
          <w:tab w:leader="none" w:pos="1448" w:val="left"/>
        </w:tabs>
        <w:widowControl w:val="0"/>
        <w:keepNext w:val="0"/>
        <w:keepLines w:val="0"/>
        <w:shd w:val="clear" w:color="auto" w:fill="auto"/>
        <w:bidi w:val="0"/>
        <w:jc w:val="both"/>
        <w:spacing w:before="0" w:after="0"/>
        <w:ind w:left="60" w:right="8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5"/>
        <w:widowControl w:val="0"/>
        <w:keepNext w:val="0"/>
        <w:keepLines w:val="0"/>
        <w:shd w:val="clear" w:color="auto" w:fill="auto"/>
        <w:bidi w:val="0"/>
        <w:jc w:val="both"/>
        <w:spacing w:before="0" w:after="0"/>
        <w:ind w:left="60" w:right="8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5"/>
        <w:widowControl w:val="0"/>
        <w:keepNext w:val="0"/>
        <w:keepLines w:val="0"/>
        <w:shd w:val="clear" w:color="auto" w:fill="auto"/>
        <w:bidi w:val="0"/>
        <w:jc w:val="both"/>
        <w:spacing w:before="0" w:after="0"/>
        <w:ind w:left="60" w:right="80" w:firstLine="860"/>
      </w:pPr>
      <w:r>
        <w:rPr>
          <w:lang w:val="ru-RU" w:eastAsia="ru-RU" w:bidi="ru-RU"/>
          <w:w w:val="100"/>
          <w:spacing w:val="0"/>
          <w:color w:val="000000"/>
          <w:position w:val="0"/>
        </w:rPr>
        <w:t>Пунктом 8 статьи 42 Закона о контрактной системе определено, что в извещении об осуществлении закупки должна содержаться информация о размере обеспечения исполнения контракта, порядке предоставления такого обеспечения, требованиях к такому обеспечению (если установление требования обеспечения исполнения контракта предусмотрено статьей 96 Закона о контрактной системе), а также информация о банковском сопровождении контракта в соответствии со статьей 35 Закона о контрактной системе.</w:t>
      </w:r>
    </w:p>
    <w:p>
      <w:pPr>
        <w:pStyle w:val="Style5"/>
        <w:widowControl w:val="0"/>
        <w:keepNext w:val="0"/>
        <w:keepLines w:val="0"/>
        <w:shd w:val="clear" w:color="auto" w:fill="auto"/>
        <w:bidi w:val="0"/>
        <w:jc w:val="left"/>
        <w:spacing w:before="0" w:after="0"/>
        <w:ind w:left="60" w:right="80" w:firstLine="720"/>
      </w:pPr>
      <w:r>
        <w:rPr>
          <w:lang w:val="ru-RU" w:eastAsia="ru-RU" w:bidi="ru-RU"/>
          <w:w w:val="100"/>
          <w:spacing w:val="0"/>
          <w:color w:val="000000"/>
          <w:position w:val="0"/>
        </w:rPr>
        <w:t>На заседании Комиссии, установлено, что в извещении о проведении Аукциона Заказчик указал:</w:t>
      </w:r>
    </w:p>
    <w:p>
      <w:pPr>
        <w:pStyle w:val="Style31"/>
        <w:framePr w:w="10330"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w:t>
      </w:r>
    </w:p>
    <w:tbl>
      <w:tblPr>
        <w:tblOverlap w:val="never"/>
        <w:tblLayout w:type="fixed"/>
        <w:jc w:val="center"/>
      </w:tblPr>
      <w:tblGrid>
        <w:gridCol w:w="6691"/>
        <w:gridCol w:w="3638"/>
      </w:tblGrid>
      <w:tr>
        <w:trPr>
          <w:trHeight w:val="360" w:hRule="exact"/>
        </w:trPr>
        <w:tc>
          <w:tcPr>
            <w:shd w:val="clear" w:color="auto" w:fill="FFFFFF"/>
            <w:tcBorders>
              <w:left w:val="single" w:sz="4"/>
              <w:top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200" w:lineRule="exact"/>
              <w:ind w:left="60" w:right="0" w:firstLine="0"/>
            </w:pPr>
            <w:r>
              <w:rPr>
                <w:rStyle w:val="CharStyle34"/>
              </w:rPr>
              <w:t>Обеспечение исполнения контракта</w:t>
            </w: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336" w:hRule="exact"/>
        </w:trPr>
        <w:tc>
          <w:tcPr>
            <w:shd w:val="clear" w:color="auto" w:fill="FFFFFF"/>
            <w:tcBorders>
              <w:left w:val="single" w:sz="4"/>
              <w:top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9"/>
              </w:rPr>
              <w:t>Требуется обеспечение исполнения контракта</w:t>
            </w: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331"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869" w:hRule="exact"/>
        </w:trPr>
        <w:tc>
          <w:tcPr>
            <w:shd w:val="clear" w:color="auto" w:fill="FFFFFF"/>
            <w:tcBorders>
              <w:left w:val="single" w:sz="4"/>
              <w:top w:val="single" w:sz="4"/>
              <w:bottom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250" w:lineRule="exact"/>
              <w:ind w:left="60" w:right="0" w:firstLine="0"/>
            </w:pPr>
            <w:r>
              <w:rPr>
                <w:rStyle w:val="CharStyle29"/>
              </w:rPr>
              <w:t>Порядок предоставления обеспечения исполнения контракта, требования к обеспечению, информация о банковском сопровождении контракта</w:t>
            </w:r>
          </w:p>
        </w:tc>
        <w:tc>
          <w:tcPr>
            <w:shd w:val="clear" w:color="auto" w:fill="FFFFFF"/>
            <w:tcBorders>
              <w:left w:val="single" w:sz="4"/>
              <w:right w:val="single" w:sz="4"/>
              <w:top w:val="single" w:sz="4"/>
              <w:bottom w:val="single" w:sz="4"/>
            </w:tcBorders>
            <w:vAlign w:val="center"/>
          </w:tcPr>
          <w:p>
            <w:pPr>
              <w:pStyle w:val="Style5"/>
              <w:framePr w:w="10330"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29"/>
              </w:rPr>
              <w:t>В соответствии с частью 3, 4 статьи 96 Федерального закона №44-ФЗ</w:t>
            </w:r>
          </w:p>
        </w:tc>
      </w:tr>
    </w:tbl>
    <w:p>
      <w:pPr>
        <w:pStyle w:val="Style31"/>
        <w:framePr w:w="10330"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извещения о проведении Аукциона).</w:t>
      </w:r>
    </w:p>
    <w:p>
      <w:pPr>
        <w:widowControl w:val="0"/>
        <w:rPr>
          <w:sz w:val="2"/>
          <w:szCs w:val="2"/>
        </w:rPr>
      </w:pPr>
    </w:p>
    <w:p>
      <w:pPr>
        <w:widowControl w:val="0"/>
        <w:rPr>
          <w:sz w:val="2"/>
          <w:szCs w:val="2"/>
        </w:rPr>
        <w:sectPr>
          <w:pgSz w:w="11906" w:h="16838"/>
          <w:pgMar w:top="1353" w:left="795" w:right="771" w:bottom="859"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60" w:lineRule="exact"/>
        <w:ind w:left="0" w:right="0" w:firstLine="0"/>
        <w:sectPr>
          <w:pgSz w:w="11906" w:h="16838"/>
          <w:pgMar w:top="1140" w:left="1700" w:right="2818" w:bottom="593" w:header="0" w:footer="3" w:gutter="0"/>
          <w:rtlGutter w:val="0"/>
          <w:cols w:space="720"/>
          <w:noEndnote/>
          <w:docGrid w:linePitch="360"/>
        </w:sectPr>
      </w:pPr>
      <w:r>
        <w:rPr>
          <w:lang w:val="ru-RU" w:eastAsia="ru-RU" w:bidi="ru-RU"/>
          <w:w w:val="100"/>
          <w:spacing w:val="0"/>
          <w:color w:val="000000"/>
          <w:position w:val="0"/>
        </w:rPr>
        <w:t>При этом в документации об Аукционе Заказчик указал: «.</w:t>
      </w:r>
    </w:p>
    <w:p>
      <w:pPr>
        <w:pStyle w:val="Style24"/>
        <w:tabs>
          <w:tab w:leader="none" w:pos="1848" w:val="left"/>
          <w:tab w:leader="none" w:pos="3427" w:val="right"/>
        </w:tabs>
        <w:widowControl w:val="0"/>
        <w:keepNext w:val="0"/>
        <w:keepLines w:val="0"/>
        <w:shd w:val="clear" w:color="auto" w:fill="auto"/>
        <w:bidi w:val="0"/>
        <w:jc w:val="both"/>
        <w:spacing w:before="0" w:after="0" w:line="250" w:lineRule="exact"/>
        <w:ind w:left="0" w:right="0" w:firstLine="0"/>
      </w:pPr>
      <w:r>
        <w:rPr>
          <w:lang w:val="ru-RU" w:eastAsia="ru-RU" w:bidi="ru-RU"/>
          <w:w w:val="100"/>
          <w:spacing w:val="0"/>
          <w:color w:val="000000"/>
          <w:position w:val="0"/>
        </w:rPr>
        <w:t>3. Срок</w:t>
        <w:tab/>
        <w:t>и</w:t>
        <w:tab/>
        <w:t>порядок</w:t>
      </w:r>
    </w:p>
    <w:p>
      <w:pPr>
        <w:pStyle w:val="Style24"/>
        <w:widowControl w:val="0"/>
        <w:keepNext w:val="0"/>
        <w:keepLines w:val="0"/>
        <w:shd w:val="clear" w:color="auto" w:fill="auto"/>
        <w:bidi w:val="0"/>
        <w:jc w:val="both"/>
        <w:spacing w:before="0" w:after="0" w:line="250" w:lineRule="exact"/>
        <w:ind w:left="680" w:right="0" w:firstLine="0"/>
      </w:pPr>
      <w:r>
        <w:rPr>
          <w:lang w:val="ru-RU" w:eastAsia="ru-RU" w:bidi="ru-RU"/>
          <w:w w:val="100"/>
          <w:spacing w:val="0"/>
          <w:color w:val="000000"/>
          <w:position w:val="0"/>
        </w:rPr>
        <w:t>предоставления обеспечения исполнения контракта</w:t>
      </w:r>
    </w:p>
    <w:p>
      <w:pPr>
        <w:pStyle w:val="Style24"/>
        <w:numPr>
          <w:ilvl w:val="0"/>
          <w:numId w:val="23"/>
        </w:numPr>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 xml:space="preserve"> Контракт заключается только после предоставления участником аукциона, с которым заключается контракт обеспечения исполнения контракта.</w:t>
      </w:r>
    </w:p>
    <w:p>
      <w:pPr>
        <w:pStyle w:val="Style7"/>
        <w:numPr>
          <w:ilvl w:val="0"/>
          <w:numId w:val="23"/>
        </w:numPr>
        <w:widowControl w:val="0"/>
        <w:keepNext w:val="0"/>
        <w:keepLines w:val="0"/>
        <w:shd w:val="clear" w:color="auto" w:fill="auto"/>
        <w:bidi w:val="0"/>
        <w:jc w:val="both"/>
        <w:spacing w:before="0" w:after="0"/>
        <w:ind w:left="20" w:right="20" w:firstLine="0"/>
      </w:pPr>
      <w:r>
        <w:rPr>
          <w:rStyle w:val="CharStyle36"/>
          <w:b w:val="0"/>
          <w:bCs w:val="0"/>
        </w:rPr>
        <w:t xml:space="preserve"> </w:t>
      </w:r>
      <w:r>
        <w:rPr>
          <w:lang w:val="ru-RU" w:eastAsia="ru-RU" w:bidi="ru-RU"/>
          <w:w w:val="100"/>
          <w:spacing w:val="0"/>
          <w:color w:val="000000"/>
          <w:position w:val="0"/>
        </w:rPr>
        <w:t>Обеспечение исполнения контракта должно быть предоставлено одновременно с подписанным участником экземпляром контракта.</w:t>
      </w:r>
    </w:p>
    <w:p>
      <w:pPr>
        <w:pStyle w:val="Style24"/>
        <w:numPr>
          <w:ilvl w:val="0"/>
          <w:numId w:val="23"/>
        </w:numPr>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 xml:space="preserve"> Исполнение контракта может обеспечиваться банковской гарантией, выданной банком, соответствующей требованиям статьи 45 Федерального закона, с учетом требований установленных постановлением Правительства Российской Федерации от 08.11.2013 №1005 (с учетом изменений и дополнений) или денежными средствами. Способ обеспечения исполнения контракта определяется участником закупки, с которым заключается контракт, самостоятельно.</w:t>
      </w:r>
    </w:p>
    <w:p>
      <w:pPr>
        <w:pStyle w:val="Style24"/>
        <w:numPr>
          <w:ilvl w:val="0"/>
          <w:numId w:val="23"/>
        </w:numPr>
        <w:widowControl w:val="0"/>
        <w:keepNext w:val="0"/>
        <w:keepLines w:val="0"/>
        <w:shd w:val="clear" w:color="auto" w:fill="auto"/>
        <w:bidi w:val="0"/>
        <w:jc w:val="both"/>
        <w:spacing w:before="0" w:after="0" w:line="274" w:lineRule="exact"/>
        <w:ind w:left="20" w:right="20" w:firstLine="0"/>
      </w:pPr>
      <w:r>
        <w:rPr>
          <w:rStyle w:val="CharStyle27"/>
        </w:rPr>
        <w:t xml:space="preserve"> Требования к обеспечению исполнения контракта,</w:t>
      </w:r>
      <w:r>
        <w:rPr>
          <w:lang w:val="ru-RU" w:eastAsia="ru-RU" w:bidi="ru-RU"/>
          <w:w w:val="100"/>
          <w:spacing w:val="0"/>
          <w:color w:val="000000"/>
          <w:position w:val="0"/>
        </w:rPr>
        <w:t xml:space="preserve"> </w:t>
      </w:r>
      <w:r>
        <w:rPr>
          <w:rStyle w:val="CharStyle27"/>
        </w:rPr>
        <w:t>предоставляемому в виде банковской гарантии,</w:t>
      </w:r>
      <w:r>
        <w:rPr>
          <w:lang w:val="ru-RU" w:eastAsia="ru-RU" w:bidi="ru-RU"/>
          <w:w w:val="100"/>
          <w:spacing w:val="0"/>
          <w:color w:val="000000"/>
          <w:position w:val="0"/>
        </w:rPr>
        <w:t xml:space="preserve"> установлены в статье 45 Федерального закона, а именно:</w:t>
      </w:r>
    </w:p>
    <w:p>
      <w:pPr>
        <w:pStyle w:val="Style24"/>
        <w:numPr>
          <w:ilvl w:val="0"/>
          <w:numId w:val="25"/>
        </w:numPr>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 xml:space="preserve"> Банковская гарантия должна быть безотзывной;</w:t>
      </w:r>
    </w:p>
    <w:p>
      <w:pPr>
        <w:pStyle w:val="Style24"/>
        <w:numPr>
          <w:ilvl w:val="0"/>
          <w:numId w:val="25"/>
        </w:numPr>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 xml:space="preserve"> Банковская гарантия должна содержать:</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а) сумму банковской гарантии, подлежащую уплате гарантом заказчику в случае ненадлежащего исполнения обязательств принципалом в соответствии со</w:t>
      </w:r>
      <w:r>
        <w:rPr>
          <w:lang w:val="ru-RU" w:eastAsia="ru-RU" w:bidi="ru-RU"/>
          <w:w w:val="100"/>
          <w:spacing w:val="0"/>
          <w:color w:val="000000"/>
          <w:position w:val="0"/>
        </w:rPr>
        <w:t xml:space="preserve"> статьей 96</w:t>
      </w:r>
      <w:r>
        <w:rPr>
          <w:lang w:val="ru-RU" w:eastAsia="ru-RU" w:bidi="ru-RU"/>
          <w:w w:val="100"/>
          <w:spacing w:val="0"/>
          <w:color w:val="000000"/>
          <w:position w:val="0"/>
        </w:rPr>
        <w:t xml:space="preserve"> настоящего Федерального закона;</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б) обязательства принципала, надлежащее исполнение которых обеспечивается банковской гарантией;</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обязанность гаранта уплатить заказчику неустойку в размере 0,1 процента денежной суммы, подлежащей уплате, за каждый день просрочки;</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г)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д)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24"/>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е) срок действия банковской гарантии;</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ё)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pPr>
        <w:pStyle w:val="Style24"/>
        <w:widowControl w:val="0"/>
        <w:keepNext w:val="0"/>
        <w:keepLines w:val="0"/>
        <w:shd w:val="clear" w:color="auto" w:fill="auto"/>
        <w:bidi w:val="0"/>
        <w:jc w:val="both"/>
        <w:spacing w:before="0" w:after="0" w:line="274" w:lineRule="exact"/>
        <w:ind w:left="20" w:right="20" w:firstLine="540"/>
        <w:sectPr>
          <w:type w:val="continuous"/>
          <w:pgSz w:w="11906" w:h="16838"/>
          <w:pgMar w:top="1140" w:left="995" w:right="952" w:bottom="593" w:header="0" w:footer="3" w:gutter="0"/>
          <w:rtlGutter w:val="0"/>
          <w:cols w:num="2" w:sep="1" w:space="720" w:equalWidth="0">
            <w:col w:w="3437" w:space="211"/>
            <w:col w:w="6312"/>
          </w:cols>
          <w:noEndnote/>
          <w:docGrid w:linePitch="360"/>
        </w:sectPr>
      </w:pPr>
      <w:r>
        <w:rPr>
          <w:lang w:val="ru-RU" w:eastAsia="ru-RU" w:bidi="ru-RU"/>
          <w:w w:val="100"/>
          <w:spacing w:val="0"/>
          <w:color w:val="000000"/>
          <w:position w:val="0"/>
        </w:rPr>
        <w:t>ж) установленный Правительством Российской Федерации</w:t>
      </w:r>
      <w:r>
        <w:rPr>
          <w:lang w:val="ru-RU" w:eastAsia="ru-RU" w:bidi="ru-RU"/>
          <w:w w:val="100"/>
          <w:spacing w:val="0"/>
          <w:color w:val="000000"/>
          <w:position w:val="0"/>
        </w:rPr>
        <w:t xml:space="preserve"> перечень </w:t>
      </w:r>
      <w:r>
        <w:rPr>
          <w:lang w:val="ru-RU" w:eastAsia="ru-RU" w:bidi="ru-RU"/>
          <w:w w:val="100"/>
          <w:spacing w:val="0"/>
          <w:color w:val="000000"/>
          <w:position w:val="0"/>
        </w:rPr>
        <w:t xml:space="preserve">документов, предоставляемых заказчиком банку одновременно с требованием об </w:t>
      </w:r>
      <w:r>
        <w:rPr>
          <w:rStyle w:val="CharStyle27"/>
        </w:rPr>
        <w:t>осуществлении уплаты денежной суммы по банковской</w:t>
      </w:r>
    </w:p>
    <w:p>
      <w:pPr>
        <w:pStyle w:val="Style24"/>
        <w:widowControl w:val="0"/>
        <w:keepNext w:val="0"/>
        <w:keepLines w:val="0"/>
        <w:shd w:val="clear" w:color="auto" w:fill="auto"/>
        <w:bidi w:val="0"/>
        <w:jc w:val="both"/>
        <w:spacing w:before="0" w:after="0" w:line="274" w:lineRule="exact"/>
        <w:ind w:left="3800" w:right="0" w:firstLine="0"/>
      </w:pPr>
      <w:r>
        <w:rPr>
          <w:lang w:val="ru-RU" w:eastAsia="ru-RU" w:bidi="ru-RU"/>
          <w:w w:val="100"/>
          <w:spacing w:val="0"/>
          <w:color w:val="000000"/>
          <w:position w:val="0"/>
        </w:rPr>
        <w:t>гарантии;</w:t>
      </w:r>
    </w:p>
    <w:p>
      <w:pPr>
        <w:pStyle w:val="Style24"/>
        <w:widowControl w:val="0"/>
        <w:keepNext w:val="0"/>
        <w:keepLines w:val="0"/>
        <w:shd w:val="clear" w:color="auto" w:fill="auto"/>
        <w:bidi w:val="0"/>
        <w:jc w:val="both"/>
        <w:spacing w:before="0" w:after="0" w:line="274" w:lineRule="exact"/>
        <w:ind w:left="3800" w:right="120" w:firstLine="580"/>
      </w:pPr>
      <w:r>
        <w:rPr>
          <w:lang w:val="ru-RU" w:eastAsia="ru-RU" w:bidi="ru-RU"/>
          <w:w w:val="100"/>
          <w:spacing w:val="0"/>
          <w:color w:val="000000"/>
          <w:position w:val="0"/>
        </w:rPr>
        <w:t>з) дополнительные требования к банковской гарантии, утвержденные постановлением Правительства Российской Федерации от 08.11.2013. №1005 (с учетом изменений и дополнений).</w:t>
      </w:r>
    </w:p>
    <w:p>
      <w:pPr>
        <w:pStyle w:val="Style24"/>
        <w:widowControl w:val="0"/>
        <w:keepNext w:val="0"/>
        <w:keepLines w:val="0"/>
        <w:shd w:val="clear" w:color="auto" w:fill="auto"/>
        <w:bidi w:val="0"/>
        <w:jc w:val="both"/>
        <w:spacing w:before="0" w:after="0" w:line="274" w:lineRule="exact"/>
        <w:ind w:left="3800" w:right="120" w:firstLine="580"/>
      </w:pPr>
      <w:r>
        <w:rPr>
          <w:lang w:val="ru-RU" w:eastAsia="ru-RU" w:bidi="ru-RU"/>
          <w:w w:val="100"/>
          <w:spacing w:val="0"/>
          <w:color w:val="000000"/>
          <w:position w:val="0"/>
        </w:rPr>
        <w:t>3) Банковская гарантия должна быть включена в реестр банковских гарантий, в соответствии со статьей 45 Федерального закона.</w:t>
      </w:r>
    </w:p>
    <w:p>
      <w:pPr>
        <w:pStyle w:val="Style24"/>
        <w:numPr>
          <w:ilvl w:val="0"/>
          <w:numId w:val="27"/>
        </w:numPr>
        <w:widowControl w:val="0"/>
        <w:keepNext w:val="0"/>
        <w:keepLines w:val="0"/>
        <w:shd w:val="clear" w:color="auto" w:fill="auto"/>
        <w:bidi w:val="0"/>
        <w:jc w:val="both"/>
        <w:spacing w:before="0" w:after="0" w:line="274" w:lineRule="exact"/>
        <w:ind w:left="3800" w:right="120" w:firstLine="0"/>
      </w:pPr>
      <w:r>
        <w:rPr>
          <w:lang w:val="ru-RU" w:eastAsia="ru-RU" w:bidi="ru-RU"/>
          <w:w w:val="100"/>
          <w:spacing w:val="0"/>
          <w:color w:val="000000"/>
          <w:position w:val="0"/>
        </w:rPr>
        <w:t xml:space="preserve"> Срок действия банковской гарантии должен превышать срок действия контракта не менее чем на один месяц</w:t>
      </w:r>
    </w:p>
    <w:p>
      <w:pPr>
        <w:pStyle w:val="Style24"/>
        <w:numPr>
          <w:ilvl w:val="0"/>
          <w:numId w:val="27"/>
        </w:numPr>
        <w:widowControl w:val="0"/>
        <w:keepNext w:val="0"/>
        <w:keepLines w:val="0"/>
        <w:shd w:val="clear" w:color="auto" w:fill="auto"/>
        <w:bidi w:val="0"/>
        <w:jc w:val="both"/>
        <w:spacing w:before="0" w:after="0" w:line="274" w:lineRule="exact"/>
        <w:ind w:left="3800" w:right="120" w:firstLine="0"/>
      </w:pPr>
      <w:r>
        <w:rPr>
          <w:lang w:val="ru-RU" w:eastAsia="ru-RU" w:bidi="ru-RU"/>
          <w:w w:val="100"/>
          <w:spacing w:val="0"/>
          <w:color w:val="000000"/>
          <w:position w:val="0"/>
        </w:rPr>
        <w:t xml:space="preserve"> В случае возникновения обстоятельств, препятствующих заключению контракта в установленные Федеральным законом сроки, срок действия банковской гарантии продлевается на срок наличия таких обстоятельств.</w:t>
      </w:r>
    </w:p>
    <w:p>
      <w:pPr>
        <w:pStyle w:val="Style24"/>
        <w:numPr>
          <w:ilvl w:val="0"/>
          <w:numId w:val="23"/>
        </w:numPr>
        <w:widowControl w:val="0"/>
        <w:keepNext w:val="0"/>
        <w:keepLines w:val="0"/>
        <w:shd w:val="clear" w:color="auto" w:fill="auto"/>
        <w:bidi w:val="0"/>
        <w:jc w:val="both"/>
        <w:spacing w:before="0" w:after="0" w:line="274" w:lineRule="exact"/>
        <w:ind w:left="3800" w:right="120" w:firstLine="0"/>
      </w:pPr>
      <w:r>
        <w:rPr>
          <w:rStyle w:val="CharStyle27"/>
        </w:rPr>
        <w:t xml:space="preserve"> Требования к обеспечению исполнения контракта,</w:t>
      </w:r>
      <w:r>
        <w:rPr>
          <w:lang w:val="ru-RU" w:eastAsia="ru-RU" w:bidi="ru-RU"/>
          <w:w w:val="100"/>
          <w:spacing w:val="0"/>
          <w:color w:val="000000"/>
          <w:position w:val="0"/>
        </w:rPr>
        <w:t xml:space="preserve"> </w:t>
      </w:r>
      <w:r>
        <w:rPr>
          <w:rStyle w:val="CharStyle27"/>
        </w:rPr>
        <w:t>предоставляемому в виде денежных средств</w:t>
      </w:r>
      <w:r>
        <w:rPr>
          <w:lang w:val="ru-RU" w:eastAsia="ru-RU" w:bidi="ru-RU"/>
          <w:w w:val="100"/>
          <w:spacing w:val="0"/>
          <w:color w:val="000000"/>
          <w:position w:val="0"/>
        </w:rPr>
        <w:t>:</w:t>
      </w:r>
    </w:p>
    <w:p>
      <w:pPr>
        <w:pStyle w:val="Style24"/>
        <w:numPr>
          <w:ilvl w:val="0"/>
          <w:numId w:val="29"/>
        </w:numPr>
        <w:widowControl w:val="0"/>
        <w:keepNext w:val="0"/>
        <w:keepLines w:val="0"/>
        <w:shd w:val="clear" w:color="auto" w:fill="auto"/>
        <w:bidi w:val="0"/>
        <w:jc w:val="both"/>
        <w:spacing w:before="0" w:after="0" w:line="274" w:lineRule="exact"/>
        <w:ind w:left="3800" w:right="120" w:firstLine="620"/>
      </w:pPr>
      <w:r>
        <w:rPr>
          <w:lang w:val="ru-RU" w:eastAsia="ru-RU" w:bidi="ru-RU"/>
          <w:w w:val="100"/>
          <w:spacing w:val="0"/>
          <w:color w:val="000000"/>
          <w:position w:val="0"/>
        </w:rPr>
        <w:t xml:space="preserve"> Денежные средства, вносимые в обеспечение исполнения контракта, должны быть перечислены в размере и по реквизитам, установленном в пункте 40 настоящей документацией об аукционе;</w:t>
      </w:r>
    </w:p>
    <w:p>
      <w:pPr>
        <w:pStyle w:val="Style24"/>
        <w:numPr>
          <w:ilvl w:val="0"/>
          <w:numId w:val="29"/>
        </w:numPr>
        <w:widowControl w:val="0"/>
        <w:keepNext w:val="0"/>
        <w:keepLines w:val="0"/>
        <w:shd w:val="clear" w:color="auto" w:fill="auto"/>
        <w:bidi w:val="0"/>
        <w:jc w:val="both"/>
        <w:spacing w:before="0" w:after="0" w:line="274" w:lineRule="exact"/>
        <w:ind w:left="3800" w:right="120" w:firstLine="580"/>
      </w:pPr>
      <w:r>
        <w:rPr>
          <w:lang w:val="ru-RU" w:eastAsia="ru-RU" w:bidi="ru-RU"/>
          <w:w w:val="100"/>
          <w:spacing w:val="0"/>
          <w:color w:val="000000"/>
          <w:position w:val="0"/>
        </w:rPr>
        <w:t xml:space="preserve"> Денежные средства возвращаются поставщику (подрядчику, исполнителю) с которым заключен контракт, при условии надлежащего исполнения им всех своих обязательств по контракту в течение срока, установленного в Проекте контракта (часть V «ПРОЕКТ КОНТРАКТА»)</w:t>
      </w:r>
    </w:p>
    <w:p>
      <w:pPr>
        <w:pStyle w:val="Style38"/>
        <w:widowControl w:val="0"/>
        <w:keepNext w:val="0"/>
        <w:keepLines w:val="0"/>
        <w:shd w:val="clear" w:color="auto" w:fill="auto"/>
        <w:bidi w:val="0"/>
        <w:spacing w:before="0" w:after="0"/>
        <w:ind w:left="3800" w:right="120" w:firstLine="0"/>
      </w:pPr>
      <w:r>
        <w:rPr>
          <w:lang w:val="ru-RU" w:eastAsia="ru-RU" w:bidi="ru-RU"/>
          <w:w w:val="100"/>
          <w:spacing w:val="0"/>
          <w:color w:val="000000"/>
          <w:position w:val="0"/>
        </w:rPr>
        <w:t>(пример: В течение 3 (трех) рабочих дней со дня получения заказчиком соответствующего письменного требования поставщика (подрядчика, исполнителя))</w:t>
      </w:r>
      <w:r>
        <w:rPr>
          <w:rStyle w:val="CharStyle40"/>
          <w:i w:val="0"/>
          <w:iCs w:val="0"/>
        </w:rPr>
        <w:t>; денежные средства возвращаются по реквизитам, указанным поставщиком (подрядчиком, исполнителем) в письменном требовании.</w:t>
      </w:r>
    </w:p>
    <w:p>
      <w:pPr>
        <w:pStyle w:val="Style24"/>
        <w:numPr>
          <w:ilvl w:val="0"/>
          <w:numId w:val="23"/>
        </w:numPr>
        <w:widowControl w:val="0"/>
        <w:keepNext w:val="0"/>
        <w:keepLines w:val="0"/>
        <w:shd w:val="clear" w:color="auto" w:fill="auto"/>
        <w:bidi w:val="0"/>
        <w:jc w:val="both"/>
        <w:spacing w:before="0" w:after="0" w:line="269" w:lineRule="exact"/>
        <w:ind w:left="3800" w:right="120" w:firstLine="0"/>
      </w:pPr>
      <w:r>
        <w:rPr>
          <w:lang w:val="ru-RU" w:eastAsia="ru-RU" w:bidi="ru-RU"/>
          <w:w w:val="100"/>
          <w:spacing w:val="0"/>
          <w:color w:val="000000"/>
          <w:position w:val="0"/>
        </w:rPr>
        <w:t xml:space="preserve">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pPr>
        <w:pStyle w:val="Style24"/>
        <w:numPr>
          <w:ilvl w:val="0"/>
          <w:numId w:val="23"/>
        </w:numPr>
        <w:widowControl w:val="0"/>
        <w:keepNext w:val="0"/>
        <w:keepLines w:val="0"/>
        <w:shd w:val="clear" w:color="auto" w:fill="auto"/>
        <w:bidi w:val="0"/>
        <w:jc w:val="both"/>
        <w:spacing w:before="0" w:after="0" w:line="269" w:lineRule="exact"/>
        <w:ind w:left="3800" w:right="120" w:firstLine="0"/>
      </w:pPr>
      <w:r>
        <w:rPr>
          <w:lang w:val="ru-RU" w:eastAsia="ru-RU" w:bidi="ru-RU"/>
          <w:w w:val="100"/>
          <w:spacing w:val="0"/>
          <w:color w:val="000000"/>
          <w:position w:val="0"/>
        </w:rPr>
        <w:t xml:space="preserve"> Положения настоящей документации об обеспечении исполнения контракта не применяются в случае:</w:t>
      </w:r>
    </w:p>
    <w:p>
      <w:pPr>
        <w:pStyle w:val="Style24"/>
        <w:numPr>
          <w:ilvl w:val="0"/>
          <w:numId w:val="31"/>
        </w:numPr>
        <w:widowControl w:val="0"/>
        <w:keepNext w:val="0"/>
        <w:keepLines w:val="0"/>
        <w:shd w:val="clear" w:color="auto" w:fill="auto"/>
        <w:bidi w:val="0"/>
        <w:jc w:val="both"/>
        <w:spacing w:before="0" w:after="0" w:line="269" w:lineRule="exact"/>
        <w:ind w:left="3800" w:right="120" w:firstLine="620"/>
      </w:pPr>
      <w:r>
        <w:rPr>
          <w:lang w:val="ru-RU" w:eastAsia="ru-RU" w:bidi="ru-RU"/>
          <w:w w:val="100"/>
          <w:spacing w:val="0"/>
          <w:color w:val="000000"/>
          <w:position w:val="0"/>
        </w:rPr>
        <w:t xml:space="preserve"> Заключения контракта с участником закупки, который является государственным или муниципальным казенным учреждением;</w:t>
      </w:r>
    </w:p>
    <w:p>
      <w:pPr>
        <w:pStyle w:val="Style24"/>
        <w:numPr>
          <w:ilvl w:val="0"/>
          <w:numId w:val="31"/>
        </w:numPr>
        <w:widowControl w:val="0"/>
        <w:keepNext w:val="0"/>
        <w:keepLines w:val="0"/>
        <w:shd w:val="clear" w:color="auto" w:fill="auto"/>
        <w:bidi w:val="0"/>
        <w:jc w:val="both"/>
        <w:spacing w:before="0" w:after="0" w:line="269" w:lineRule="exact"/>
        <w:ind w:left="3800" w:right="120" w:firstLine="580"/>
      </w:pPr>
      <w:r>
        <w:rPr>
          <w:lang w:val="ru-RU" w:eastAsia="ru-RU" w:bidi="ru-RU"/>
          <w:w w:val="100"/>
          <w:spacing w:val="0"/>
          <w:color w:val="000000"/>
          <w:position w:val="0"/>
        </w:rPr>
        <w:t xml:space="preserve"> Осуществления закупки услуги по предоставлению кредита;</w:t>
      </w:r>
    </w:p>
    <w:p>
      <w:pPr>
        <w:pStyle w:val="Style24"/>
        <w:numPr>
          <w:ilvl w:val="0"/>
          <w:numId w:val="31"/>
        </w:numPr>
        <w:tabs>
          <w:tab w:leader="underscore" w:pos="4334" w:val="center"/>
          <w:tab w:leader="none" w:pos="5395" w:val="center"/>
          <w:tab w:leader="none" w:pos="6773" w:val="right"/>
          <w:tab w:leader="none" w:pos="7560" w:val="right"/>
          <w:tab w:leader="none" w:pos="8770" w:val="right"/>
          <w:tab w:leader="none" w:pos="9322" w:val="center"/>
        </w:tabs>
        <w:widowControl w:val="0"/>
        <w:keepNext w:val="0"/>
        <w:keepLines w:val="0"/>
        <w:shd w:val="clear" w:color="auto" w:fill="auto"/>
        <w:bidi w:val="0"/>
        <w:jc w:val="left"/>
        <w:spacing w:before="0" w:after="0" w:line="269" w:lineRule="exact"/>
        <w:ind w:left="0" w:right="120" w:firstLine="4420"/>
      </w:pPr>
      <w:r>
        <w:rPr>
          <w:lang w:val="ru-RU" w:eastAsia="ru-RU" w:bidi="ru-RU"/>
          <w:w w:val="100"/>
          <w:spacing w:val="0"/>
          <w:color w:val="000000"/>
          <w:position w:val="0"/>
        </w:rPr>
        <w:t xml:space="preserve"> Заключения бюджетным учреждением контракта, </w:t>
        <w:tab/>
      </w:r>
      <w:r>
        <w:rPr>
          <w:rStyle w:val="CharStyle27"/>
        </w:rPr>
        <w:t>предметом</w:t>
        <w:tab/>
        <w:t>которого</w:t>
        <w:tab/>
        <w:t>является</w:t>
        <w:tab/>
        <w:t>выдача</w:t>
        <w:tab/>
        <w:t>банковской</w:t>
        <w:tab/>
        <w:t>гарантии.</w:t>
      </w:r>
    </w:p>
    <w:p>
      <w:pPr>
        <w:pStyle w:val="Style5"/>
        <w:widowControl w:val="0"/>
        <w:keepNext w:val="0"/>
        <w:keepLines w:val="0"/>
        <w:shd w:val="clear" w:color="auto" w:fill="auto"/>
        <w:bidi w:val="0"/>
        <w:jc w:val="both"/>
        <w:spacing w:before="0" w:after="0" w:line="317" w:lineRule="exact"/>
        <w:ind w:left="0" w:right="0" w:firstLine="860"/>
      </w:pPr>
      <w:r>
        <w:rPr>
          <w:rStyle w:val="CharStyle41"/>
        </w:rPr>
        <w:t>...»</w:t>
      </w:r>
      <w:r>
        <w:rPr>
          <w:lang w:val="ru-RU" w:eastAsia="ru-RU" w:bidi="ru-RU"/>
          <w:w w:val="100"/>
          <w:spacing w:val="0"/>
          <w:color w:val="000000"/>
          <w:position w:val="0"/>
        </w:rPr>
        <w:t xml:space="preserve"> (цитата документации об Аукционе).</w:t>
      </w:r>
    </w:p>
    <w:p>
      <w:pPr>
        <w:pStyle w:val="Style5"/>
        <w:widowControl w:val="0"/>
        <w:keepNext w:val="0"/>
        <w:keepLines w:val="0"/>
        <w:shd w:val="clear" w:color="auto" w:fill="auto"/>
        <w:bidi w:val="0"/>
        <w:jc w:val="both"/>
        <w:spacing w:before="0" w:after="56" w:line="317" w:lineRule="exact"/>
        <w:ind w:left="0" w:right="20" w:firstLine="860"/>
      </w:pPr>
      <w:r>
        <w:rPr>
          <w:lang w:val="ru-RU" w:eastAsia="ru-RU" w:bidi="ru-RU"/>
          <w:w w:val="100"/>
          <w:spacing w:val="0"/>
          <w:color w:val="000000"/>
          <w:position w:val="0"/>
        </w:rPr>
        <w:t>На основании изложенного, Комиссия приходит к выводу, что Заказчиком в извещении о проведении Аукциона не указана информация о порядке предоставления обеспечения исполнения контракта, требования к такому обеспечению, что нарушает требования пункта 8 статьи 42, части 5 статьи 63, части</w:t>
        <w:br w:type="page"/>
        <w:t>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229"/>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5"/>
        <w:numPr>
          <w:ilvl w:val="0"/>
          <w:numId w:val="3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5"/>
        <w:numPr>
          <w:ilvl w:val="0"/>
          <w:numId w:val="3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Признать Аукционную комиссию Заказчика нарушившей требования статей 66, 67 Закона о контрактной системе.</w:t>
      </w:r>
    </w:p>
    <w:p>
      <w:pPr>
        <w:pStyle w:val="Style5"/>
        <w:numPr>
          <w:ilvl w:val="0"/>
          <w:numId w:val="3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Признать Заказчика нарушившим требования пунктов 7, 8 статьи 42, части</w:t>
      </w:r>
    </w:p>
    <w:p>
      <w:pPr>
        <w:pStyle w:val="Style5"/>
        <w:numPr>
          <w:ilvl w:val="0"/>
          <w:numId w:val="35"/>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статьи 63, пункта 2 части 1 статьи 64, части 1 статьи 64, части 6 статьи 66 Закона о контрактной системе.</w:t>
      </w:r>
    </w:p>
    <w:p>
      <w:pPr>
        <w:pStyle w:val="Style5"/>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Аукционной комиссии Заказчика выдать предписание об устранении нарушений законодательства Российской Федерации о контрактной системе в сфере закупок.</w:t>
      </w:r>
    </w:p>
    <w:p>
      <w:pPr>
        <w:pStyle w:val="Style5"/>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№06/4160-17 для рассмотрения вопроса о возбуждении дела</w:t>
      </w:r>
    </w:p>
    <w:p>
      <w:pPr>
        <w:pStyle w:val="Style5"/>
        <w:numPr>
          <w:ilvl w:val="0"/>
          <w:numId w:val="35"/>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административном правонарушении.</w:t>
      </w:r>
    </w:p>
    <w:p>
      <w:pPr>
        <w:pStyle w:val="Style5"/>
        <w:numPr>
          <w:ilvl w:val="0"/>
          <w:numId w:val="7"/>
        </w:numPr>
        <w:widowControl w:val="0"/>
        <w:keepNext w:val="0"/>
        <w:keepLines w:val="0"/>
        <w:shd w:val="clear" w:color="auto" w:fill="auto"/>
        <w:bidi w:val="0"/>
        <w:jc w:val="both"/>
        <w:spacing w:before="0" w:after="184"/>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 06/12467</w:t>
      </w:r>
    </w:p>
    <w:p>
      <w:pPr>
        <w:pStyle w:val="Style5"/>
        <w:widowControl w:val="0"/>
        <w:keepNext w:val="0"/>
        <w:keepLines w:val="0"/>
        <w:shd w:val="clear" w:color="auto" w:fill="auto"/>
        <w:bidi w:val="0"/>
        <w:jc w:val="both"/>
        <w:spacing w:before="0" w:after="33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7807"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 С. Муравьёв</w:t>
      </w:r>
    </w:p>
    <w:p>
      <w:pPr>
        <w:pStyle w:val="Style5"/>
        <w:tabs>
          <w:tab w:leader="none" w:pos="7807"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w="4074" w:h="557" w:wrap="notBeside" w:vAnchor="text" w:hAnchor="margin" w:x="287" w:y="1501"/>
        <w:widowControl w:val="0"/>
        <w:keepNext w:val="0"/>
        <w:keepLines w:val="0"/>
        <w:shd w:val="clear" w:color="auto" w:fill="auto"/>
        <w:bidi w:val="0"/>
        <w:spacing w:before="0" w:after="0" w:line="278" w:lineRule="exact"/>
        <w:ind w:left="0" w:right="0" w:firstLine="0"/>
      </w:pPr>
      <w:r>
        <w:rPr>
          <w:rStyle w:val="CharStyle37"/>
          <w:b/>
          <w:bCs/>
          <w:spacing w:val="0"/>
        </w:rPr>
        <w:t>ФЕДЕРАЛЬНАЯ АНТИМОНОПОЛЬНАЯ СЛУЖБА</w:t>
      </w:r>
    </w:p>
    <w:p>
      <w:pPr>
        <w:pStyle w:val="Style5"/>
        <w:tabs>
          <w:tab w:leader="none" w:pos="7807" w:val="left"/>
        </w:tabs>
        <w:widowControl w:val="0"/>
        <w:keepNext w:val="0"/>
        <w:keepLines w:val="0"/>
        <w:shd w:val="clear" w:color="auto" w:fill="auto"/>
        <w:bidi w:val="0"/>
        <w:jc w:val="both"/>
        <w:spacing w:before="0" w:after="0" w:line="643" w:lineRule="exact"/>
        <w:ind w:left="20" w:right="0" w:firstLine="0"/>
        <w:sectPr>
          <w:pgSz w:w="11906" w:h="16838"/>
          <w:pgMar w:top="1466" w:left="846" w:right="841" w:bottom="909" w:header="0" w:footer="3" w:gutter="0"/>
          <w:rtlGutter w:val="0"/>
          <w:cols w:space="720"/>
          <w:noEndnote/>
          <w:docGrid w:linePitch="360"/>
        </w:sectPr>
      </w:pPr>
      <w:r>
        <w:rPr>
          <w:lang w:val="ru-RU" w:eastAsia="ru-RU" w:bidi="ru-RU"/>
          <w:w w:val="100"/>
          <w:spacing w:val="0"/>
          <w:color w:val="000000"/>
          <w:position w:val="0"/>
        </w:rPr>
        <w:t>Член Комиссии:</w:t>
        <w:tab/>
        <w:t>О. А. Шалимова</w:t>
      </w:r>
    </w:p>
    <w:p>
      <w:pPr>
        <w:pStyle w:val="Style5"/>
        <w:framePr w:w="9816" w:h="912" w:wrap="notBeside" w:vAnchor="text" w:hAnchor="margin" w:x="-868" w:y="3"/>
        <w:tabs>
          <w:tab w:leader="none" w:pos="4932" w:val="left"/>
        </w:tabs>
        <w:widowControl w:val="0"/>
        <w:keepNext w:val="0"/>
        <w:keepLines w:val="0"/>
        <w:shd w:val="clear" w:color="auto" w:fill="auto"/>
        <w:bidi w:val="0"/>
        <w:jc w:val="both"/>
        <w:spacing w:before="0" w:after="0" w:line="307" w:lineRule="exact"/>
        <w:ind w:left="1500" w:right="0" w:firstLine="0"/>
      </w:pPr>
      <w:r>
        <w:rPr>
          <w:rStyle w:val="CharStyle42"/>
          <w:spacing w:val="0"/>
        </w:rPr>
        <w:t>УПРАВЛЕНИЕ</w:t>
        <w:tab/>
      </w:r>
      <w:r>
        <w:rPr>
          <w:rStyle w:val="CharStyle6"/>
          <w:spacing w:val="0"/>
        </w:rPr>
        <w:t>Муниципальное унитарное предприятие</w:t>
      </w:r>
    </w:p>
    <w:p>
      <w:pPr>
        <w:pStyle w:val="Style5"/>
        <w:framePr w:w="9816" w:h="912" w:wrap="notBeside" w:vAnchor="text" w:hAnchor="margin" w:x="-868" w:y="3"/>
        <w:tabs>
          <w:tab w:leader="none" w:pos="4931" w:val="left"/>
        </w:tabs>
        <w:widowControl w:val="0"/>
        <w:keepNext w:val="0"/>
        <w:keepLines w:val="0"/>
        <w:shd w:val="clear" w:color="auto" w:fill="auto"/>
        <w:bidi w:val="0"/>
        <w:jc w:val="both"/>
        <w:spacing w:before="0" w:after="0" w:line="307" w:lineRule="exact"/>
        <w:ind w:left="160" w:right="0" w:firstLine="0"/>
      </w:pPr>
      <w:r>
        <w:rPr>
          <w:rStyle w:val="CharStyle42"/>
          <w:vertAlign w:val="superscript"/>
          <w:spacing w:val="0"/>
        </w:rPr>
        <w:t>Федеральной антимонопольной службы</w:t>
      </w:r>
      <w:r>
        <w:rPr>
          <w:rStyle w:val="CharStyle42"/>
          <w:spacing w:val="0"/>
        </w:rPr>
        <w:tab/>
      </w:r>
      <w:r>
        <w:rPr>
          <w:rStyle w:val="CharStyle6"/>
          <w:spacing w:val="0"/>
        </w:rPr>
        <w:t>муниципального образования городской</w:t>
      </w:r>
    </w:p>
    <w:p>
      <w:pPr>
        <w:pStyle w:val="Style7"/>
        <w:framePr w:w="9816" w:h="912" w:wrap="notBeside" w:vAnchor="text" w:hAnchor="margin" w:x="-868" w:y="3"/>
        <w:widowControl w:val="0"/>
        <w:keepNext w:val="0"/>
        <w:keepLines w:val="0"/>
        <w:shd w:val="clear" w:color="auto" w:fill="auto"/>
        <w:bidi w:val="0"/>
        <w:jc w:val="left"/>
        <w:spacing w:before="0" w:after="0" w:line="307" w:lineRule="exact"/>
        <w:ind w:left="0" w:right="0" w:firstLine="0"/>
      </w:pPr>
      <w:r>
        <w:rPr>
          <w:rStyle w:val="CharStyle37"/>
          <w:b/>
          <w:bCs/>
          <w:spacing w:val="0"/>
        </w:rPr>
        <w:t xml:space="preserve">по </w:t>
      </w:r>
      <w:r>
        <w:rPr>
          <w:rStyle w:val="CharStyle37"/>
          <w:vertAlign w:val="superscript"/>
          <w:b/>
          <w:bCs/>
          <w:spacing w:val="0"/>
        </w:rPr>
        <w:t>Р</w:t>
      </w:r>
      <w:r>
        <w:rPr>
          <w:rStyle w:val="CharStyle37"/>
          <w:b/>
          <w:bCs/>
          <w:spacing w:val="0"/>
        </w:rPr>
        <w:t>есп</w:t>
      </w:r>
      <w:r>
        <w:rPr>
          <w:rStyle w:val="CharStyle37"/>
          <w:vertAlign w:val="superscript"/>
          <w:b/>
          <w:bCs/>
          <w:spacing w:val="0"/>
        </w:rPr>
        <w:t>ублик</w:t>
      </w:r>
      <w:r>
        <w:rPr>
          <w:rStyle w:val="CharStyle37"/>
          <w:b/>
          <w:bCs/>
          <w:spacing w:val="0"/>
        </w:rPr>
        <w:t xml:space="preserve">е </w:t>
      </w:r>
      <w:r>
        <w:rPr>
          <w:rStyle w:val="CharStyle37"/>
          <w:vertAlign w:val="superscript"/>
          <w:b/>
          <w:bCs/>
          <w:spacing w:val="0"/>
        </w:rPr>
        <w:t>Крым</w:t>
      </w:r>
      <w:r>
        <w:rPr>
          <w:rStyle w:val="CharStyle37"/>
          <w:b/>
          <w:bCs/>
          <w:spacing w:val="0"/>
        </w:rPr>
        <w:t xml:space="preserve"> И го</w:t>
      </w:r>
      <w:r>
        <w:rPr>
          <w:rStyle w:val="CharStyle37"/>
          <w:vertAlign w:val="superscript"/>
          <w:b/>
          <w:bCs/>
          <w:spacing w:val="0"/>
        </w:rPr>
        <w:t>р</w:t>
      </w:r>
      <w:r>
        <w:rPr>
          <w:rStyle w:val="CharStyle37"/>
          <w:b/>
          <w:bCs/>
          <w:spacing w:val="0"/>
        </w:rPr>
        <w:t>од</w:t>
      </w:r>
      <w:r>
        <w:rPr>
          <w:rStyle w:val="CharStyle37"/>
          <w:vertAlign w:val="superscript"/>
          <w:b/>
          <w:bCs/>
          <w:spacing w:val="0"/>
        </w:rPr>
        <w:t>у Сева</w:t>
      </w:r>
      <w:r>
        <w:rPr>
          <w:rStyle w:val="CharStyle37"/>
          <w:b/>
          <w:bCs/>
          <w:spacing w:val="0"/>
        </w:rPr>
        <w:t>&lt;топо</w:t>
      </w:r>
      <w:r>
        <w:rPr>
          <w:rStyle w:val="CharStyle37"/>
          <w:vertAlign w:val="superscript"/>
          <w:b/>
          <w:bCs/>
          <w:spacing w:val="0"/>
        </w:rPr>
        <w:t>л</w:t>
      </w:r>
      <w:r>
        <w:rPr>
          <w:rStyle w:val="CharStyle37"/>
          <w:b/>
          <w:bCs/>
          <w:spacing w:val="0"/>
        </w:rPr>
        <w:t xml:space="preserve">ю </w:t>
      </w:r>
      <w:r>
        <w:rPr>
          <w:rStyle w:val="CharStyle43"/>
          <w:b w:val="0"/>
          <w:bCs w:val="0"/>
          <w:spacing w:val="0"/>
        </w:rPr>
        <w:t>о</w:t>
      </w:r>
      <w:r>
        <w:rPr>
          <w:rStyle w:val="CharStyle43"/>
          <w:vertAlign w:val="subscript"/>
          <w:b w:val="0"/>
          <w:bCs w:val="0"/>
          <w:spacing w:val="0"/>
        </w:rPr>
        <w:t>к</w:t>
      </w:r>
      <w:r>
        <w:rPr>
          <w:rStyle w:val="CharStyle43"/>
          <w:b w:val="0"/>
          <w:bCs w:val="0"/>
          <w:spacing w:val="0"/>
        </w:rPr>
        <w:t>ру</w:t>
      </w:r>
      <w:r>
        <w:rPr>
          <w:rStyle w:val="CharStyle43"/>
          <w:vertAlign w:val="subscript"/>
          <w:b w:val="0"/>
          <w:bCs w:val="0"/>
          <w:spacing w:val="0"/>
        </w:rPr>
        <w:t>Г</w:t>
      </w:r>
      <w:r>
        <w:rPr>
          <w:rStyle w:val="CharStyle43"/>
          <w:b w:val="0"/>
          <w:bCs w:val="0"/>
          <w:spacing w:val="0"/>
        </w:rPr>
        <w:t xml:space="preserve"> Симферополь Республики Крым</w:t>
      </w:r>
    </w:p>
    <w:p>
      <w:pPr>
        <w:widowControl w:val="0"/>
        <w:rPr>
          <w:sz w:val="2"/>
          <w:szCs w:val="2"/>
        </w:rPr>
      </w:pPr>
    </w:p>
    <w:p>
      <w:pPr>
        <w:pStyle w:val="Style3"/>
        <w:widowControl w:val="0"/>
        <w:keepNext w:val="0"/>
        <w:keepLines w:val="0"/>
        <w:shd w:val="clear" w:color="auto" w:fill="auto"/>
        <w:bidi w:val="0"/>
        <w:spacing w:before="0" w:after="0" w:line="182" w:lineRule="exact"/>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"Метроград"</w:t>
      </w:r>
    </w:p>
    <w:p>
      <w:pPr>
        <w:pStyle w:val="Style5"/>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295044, Республика Крым,</w:t>
      </w:r>
    </w:p>
    <w:p>
      <w:pPr>
        <w:pStyle w:val="Style5"/>
        <w:tabs>
          <w:tab w:leader="none" w:pos="325" w:val="left"/>
        </w:tabs>
        <w:widowControl w:val="0"/>
        <w:keepNext w:val="0"/>
        <w:keepLines w:val="0"/>
        <w:shd w:val="clear" w:color="auto" w:fill="auto"/>
        <w:bidi w:val="0"/>
        <w:jc w:val="both"/>
        <w:spacing w:before="0" w:after="0"/>
        <w:ind w:left="0" w:right="0" w:firstLine="0"/>
        <w:sectPr>
          <w:pgSz w:w="11906" w:h="16838"/>
          <w:pgMar w:top="2018" w:left="1758" w:right="1504" w:bottom="525" w:header="0" w:footer="3" w:gutter="0"/>
          <w:rtlGutter w:val="0"/>
          <w:cols w:num="2" w:space="720" w:equalWidth="0">
            <w:col w:w="2928" w:space="1181"/>
            <w:col w:w="4536"/>
          </w:cols>
          <w:noEndnote/>
          <w:docGrid w:linePitch="360"/>
        </w:sectPr>
      </w:pPr>
      <w:r>
        <w:rPr>
          <w:lang w:val="ru-RU" w:eastAsia="ru-RU" w:bidi="ru-RU"/>
          <w:w w:val="100"/>
          <w:spacing w:val="0"/>
          <w:color w:val="000000"/>
          <w:position w:val="0"/>
        </w:rPr>
        <w:t>г.</w:t>
        <w:tab/>
        <w:t>Симферополь, ул. Залесская, дом 78</w:t>
      </w:r>
    </w:p>
    <w:p>
      <w:pPr>
        <w:widowControl w:val="0"/>
        <w:spacing w:line="32"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numPr>
          <w:ilvl w:val="0"/>
          <w:numId w:val="37"/>
        </w:numPr>
        <w:tabs>
          <w:tab w:leader="none" w:pos="1419" w:val="left"/>
        </w:tabs>
        <w:widowControl w:val="0"/>
        <w:keepNext w:val="0"/>
        <w:keepLines w:val="0"/>
        <w:shd w:val="clear" w:color="auto" w:fill="auto"/>
        <w:bidi w:val="0"/>
        <w:jc w:val="both"/>
        <w:spacing w:before="0" w:after="52" w:line="260" w:lineRule="exact"/>
        <w:ind w:left="0" w:right="0" w:firstLine="0"/>
      </w:pPr>
      <w:r>
        <w:rPr>
          <w:lang w:val="ru-RU" w:eastAsia="ru-RU" w:bidi="ru-RU"/>
          <w:w w:val="100"/>
          <w:spacing w:val="0"/>
          <w:color w:val="000000"/>
          <w:position w:val="0"/>
        </w:rPr>
        <w:t>№06/12775</w:t>
      </w:r>
    </w:p>
    <w:p>
      <w:pPr>
        <w:pStyle w:val="Style5"/>
        <w:numPr>
          <w:ilvl w:val="0"/>
          <w:numId w:val="39"/>
        </w:numPr>
        <w:widowControl w:val="0"/>
        <w:keepNext w:val="0"/>
        <w:keepLines w:val="0"/>
        <w:shd w:val="clear" w:color="auto" w:fill="auto"/>
        <w:bidi w:val="0"/>
        <w:jc w:val="left"/>
        <w:spacing w:before="0" w:after="0" w:line="260" w:lineRule="exact"/>
        <w:ind w:left="5080" w:right="0" w:firstLine="0"/>
      </w:pPr>
      <w:r>
        <w:rPr>
          <w:lang w:val="ru-RU" w:eastAsia="ru-RU" w:bidi="ru-RU"/>
          <w:w w:val="100"/>
          <w:spacing w:val="0"/>
          <w:color w:val="000000"/>
          <w:position w:val="0"/>
        </w:rPr>
        <w:t xml:space="preserve"> Заявитель:</w:t>
      </w:r>
    </w:p>
    <w:p>
      <w:pPr>
        <w:pStyle w:val="Style5"/>
        <w:tabs>
          <w:tab w:leader="none" w:pos="5674" w:val="center"/>
          <w:tab w:leader="none" w:pos="6466" w:val="right"/>
          <w:tab w:leader="none" w:pos="7378" w:val="center"/>
        </w:tabs>
        <w:widowControl w:val="0"/>
        <w:keepNext w:val="0"/>
        <w:keepLines w:val="0"/>
        <w:shd w:val="clear" w:color="auto" w:fill="auto"/>
        <w:bidi w:val="0"/>
        <w:jc w:val="both"/>
        <w:spacing w:before="0" w:after="3" w:line="260" w:lineRule="exact"/>
        <w:ind w:left="0" w:right="0" w:firstLine="0"/>
      </w:pPr>
      <w:r>
        <w:rPr>
          <w:lang w:val="ru-RU" w:eastAsia="ru-RU" w:bidi="ru-RU"/>
          <w:vertAlign w:val="superscript"/>
          <w:w w:val="100"/>
          <w:spacing w:val="0"/>
          <w:color w:val="000000"/>
          <w:position w:val="0"/>
        </w:rPr>
        <w:t xml:space="preserve">На № </w:t>
      </w:r>
      <w:r>
        <w:rPr>
          <w:rStyle w:val="CharStyle44"/>
          <w:vertAlign w:val="superscript"/>
        </w:rPr>
        <w:t>323</w:t>
      </w:r>
      <w:r>
        <w:rPr>
          <w:lang w:val="ru-RU" w:eastAsia="ru-RU" w:bidi="ru-RU"/>
          <w:vertAlign w:val="superscript"/>
          <w:w w:val="100"/>
          <w:spacing w:val="0"/>
          <w:color w:val="000000"/>
          <w:position w:val="0"/>
        </w:rPr>
        <w:t xml:space="preserve"> от 3</w:t>
      </w:r>
      <w:r>
        <w:rPr>
          <w:lang w:val="ru-RU" w:eastAsia="ru-RU" w:bidi="ru-RU"/>
          <w:w w:val="100"/>
          <w:spacing w:val="0"/>
          <w:color w:val="000000"/>
          <w:position w:val="0"/>
        </w:rPr>
        <w:t>°.</w:t>
      </w:r>
      <w:r>
        <w:rPr>
          <w:lang w:val="ru-RU" w:eastAsia="ru-RU" w:bidi="ru-RU"/>
          <w:vertAlign w:val="superscript"/>
          <w:w w:val="100"/>
          <w:spacing w:val="0"/>
          <w:color w:val="000000"/>
          <w:position w:val="0"/>
        </w:rPr>
        <w:t>10</w:t>
      </w:r>
      <w:r>
        <w:rPr>
          <w:lang w:val="ru-RU" w:eastAsia="ru-RU" w:bidi="ru-RU"/>
          <w:w w:val="100"/>
          <w:spacing w:val="0"/>
          <w:color w:val="000000"/>
          <w:position w:val="0"/>
        </w:rPr>
        <w:t>.</w:t>
      </w:r>
      <w:r>
        <w:rPr>
          <w:lang w:val="ru-RU" w:eastAsia="ru-RU" w:bidi="ru-RU"/>
          <w:vertAlign w:val="superscript"/>
          <w:w w:val="100"/>
          <w:spacing w:val="0"/>
          <w:color w:val="000000"/>
          <w:position w:val="0"/>
        </w:rPr>
        <w:t>2017</w:t>
      </w:r>
      <w:r>
        <w:rPr>
          <w:lang w:val="ru-RU" w:eastAsia="ru-RU" w:bidi="ru-RU"/>
          <w:w w:val="100"/>
          <w:spacing w:val="0"/>
          <w:color w:val="000000"/>
          <w:position w:val="0"/>
        </w:rPr>
        <w:tab/>
        <w:t>Общество</w:t>
        <w:tab/>
        <w:t>с</w:t>
        <w:tab/>
        <w:t>ограниченной</w:t>
      </w:r>
    </w:p>
    <w:p>
      <w:pPr>
        <w:pStyle w:val="Style5"/>
        <w:widowControl w:val="0"/>
        <w:keepNext w:val="0"/>
        <w:keepLines w:val="0"/>
        <w:shd w:val="clear" w:color="auto" w:fill="auto"/>
        <w:bidi w:val="0"/>
        <w:jc w:val="left"/>
        <w:spacing w:before="0" w:after="300"/>
        <w:ind w:left="5080" w:right="320" w:firstLine="0"/>
      </w:pPr>
      <w:r>
        <w:rPr>
          <w:lang w:val="ru-RU" w:eastAsia="ru-RU" w:bidi="ru-RU"/>
          <w:w w:val="100"/>
          <w:spacing w:val="0"/>
          <w:color w:val="000000"/>
          <w:position w:val="0"/>
        </w:rPr>
        <w:t>ответственностью «Крымстрой 2014» 295000, г. Симферополь, пр. Кирова, 29, оф. 210</w:t>
      </w:r>
    </w:p>
    <w:p>
      <w:pPr>
        <w:pStyle w:val="Style5"/>
        <w:numPr>
          <w:ilvl w:val="0"/>
          <w:numId w:val="39"/>
        </w:numPr>
        <w:widowControl w:val="0"/>
        <w:keepNext w:val="0"/>
        <w:keepLines w:val="0"/>
        <w:shd w:val="clear" w:color="auto" w:fill="auto"/>
        <w:bidi w:val="0"/>
        <w:jc w:val="left"/>
        <w:spacing w:before="0" w:after="0"/>
        <w:ind w:left="5080" w:right="32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5"/>
        <w:widowControl w:val="0"/>
        <w:keepNext w:val="0"/>
        <w:keepLines w:val="0"/>
        <w:shd w:val="clear" w:color="auto" w:fill="auto"/>
        <w:bidi w:val="0"/>
        <w:jc w:val="left"/>
        <w:spacing w:before="0" w:after="0"/>
        <w:ind w:left="5080" w:right="0" w:firstLine="0"/>
      </w:pPr>
      <w:r>
        <w:rPr>
          <w:lang w:val="ru-RU" w:eastAsia="ru-RU" w:bidi="ru-RU"/>
          <w:w w:val="100"/>
          <w:spacing w:val="0"/>
          <w:color w:val="000000"/>
          <w:position w:val="0"/>
        </w:rPr>
        <w:t>121151, г. Москва, наб. Тараса Шевченко,</w:t>
      </w:r>
    </w:p>
    <w:p>
      <w:pPr>
        <w:pStyle w:val="Style5"/>
        <w:tabs>
          <w:tab w:leader="none" w:pos="5453" w:val="left"/>
        </w:tabs>
        <w:widowControl w:val="0"/>
        <w:keepNext w:val="0"/>
        <w:keepLines w:val="0"/>
        <w:shd w:val="clear" w:color="auto" w:fill="auto"/>
        <w:bidi w:val="0"/>
        <w:jc w:val="both"/>
        <w:spacing w:before="0" w:after="120"/>
        <w:ind w:left="5080" w:right="0" w:firstLine="0"/>
      </w:pPr>
      <w:r>
        <w:rPr>
          <w:lang w:val="ru-RU" w:eastAsia="ru-RU" w:bidi="ru-RU"/>
          <w:w w:val="100"/>
          <w:spacing w:val="0"/>
          <w:color w:val="000000"/>
          <w:position w:val="0"/>
        </w:rPr>
        <w:t>д.</w:t>
        <w:tab/>
        <w:t>23А, сектор В, 25 этаж</w:t>
      </w:r>
    </w:p>
    <w:p>
      <w:pPr>
        <w:pStyle w:val="Style17"/>
        <w:widowControl w:val="0"/>
        <w:keepNext w:val="0"/>
        <w:keepLines w:val="0"/>
        <w:shd w:val="clear" w:color="auto" w:fill="auto"/>
        <w:bidi w:val="0"/>
        <w:spacing w:before="0" w:after="229"/>
        <w:ind w:left="0" w:right="100" w:firstLine="0"/>
      </w:pPr>
      <w:r>
        <w:rPr>
          <w:lang w:val="ru-RU" w:eastAsia="ru-RU" w:bidi="ru-RU"/>
          <w:w w:val="100"/>
          <w:spacing w:val="0"/>
          <w:color w:val="000000"/>
          <w:position w:val="0"/>
        </w:rPr>
        <w:t>Предписание по делу №06/4160-17 об устранении нарушений законодательства Российской Федерации о контрактной системе в сфере закупок</w:t>
      </w:r>
    </w:p>
    <w:p>
      <w:pPr>
        <w:pStyle w:val="Style5"/>
        <w:numPr>
          <w:ilvl w:val="0"/>
          <w:numId w:val="41"/>
        </w:numPr>
        <w:tabs>
          <w:tab w:leader="none" w:pos="8146" w:val="left"/>
          <w:tab w:leader="none" w:pos="8166" w:val="left"/>
        </w:tabs>
        <w:widowControl w:val="0"/>
        <w:keepNext w:val="0"/>
        <w:keepLines w:val="0"/>
        <w:shd w:val="clear" w:color="auto" w:fill="auto"/>
        <w:bidi w:val="0"/>
        <w:jc w:val="both"/>
        <w:spacing w:before="0" w:after="253" w:line="260" w:lineRule="exact"/>
        <w:ind w:left="38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both"/>
        <w:spacing w:before="0" w:after="0"/>
        <w:ind w:left="12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28"/>
        </w:rPr>
        <w:t>УФАС</w:t>
      </w:r>
      <w:r>
        <w:rPr>
          <w:lang w:val="ru-RU" w:eastAsia="ru-RU" w:bidi="ru-RU"/>
          <w:w w:val="100"/>
          <w:spacing w:val="0"/>
          <w:color w:val="000000"/>
          <w:position w:val="0"/>
        </w:rPr>
        <w:t xml:space="preserve"> России) (далее - Комиссия) в составе:</w:t>
      </w:r>
    </w:p>
    <w:p>
      <w:pPr>
        <w:pStyle w:val="Style5"/>
        <w:widowControl w:val="0"/>
        <w:keepNext w:val="0"/>
        <w:keepLines w:val="0"/>
        <w:shd w:val="clear" w:color="auto" w:fill="auto"/>
        <w:bidi w:val="0"/>
        <w:jc w:val="both"/>
        <w:spacing w:before="0" w:after="0"/>
        <w:ind w:left="120" w:right="2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28"/>
        </w:rPr>
        <w:t xml:space="preserve">УФАС </w:t>
      </w:r>
      <w:r>
        <w:rPr>
          <w:lang w:val="ru-RU" w:eastAsia="ru-RU" w:bidi="ru-RU"/>
          <w:w w:val="100"/>
          <w:spacing w:val="0"/>
          <w:color w:val="000000"/>
          <w:position w:val="0"/>
        </w:rPr>
        <w:t>России М. С. Муравьёва,</w:t>
      </w:r>
    </w:p>
    <w:p>
      <w:pPr>
        <w:pStyle w:val="Style5"/>
        <w:widowControl w:val="0"/>
        <w:keepNext w:val="0"/>
        <w:keepLines w:val="0"/>
        <w:shd w:val="clear" w:color="auto" w:fill="auto"/>
        <w:bidi w:val="0"/>
        <w:jc w:val="both"/>
        <w:spacing w:before="0" w:after="349"/>
        <w:ind w:left="120" w:right="2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28"/>
        </w:rPr>
        <w:t>УФАС</w:t>
      </w:r>
      <w:r>
        <w:rPr>
          <w:lang w:val="ru-RU" w:eastAsia="ru-RU" w:bidi="ru-RU"/>
          <w:w w:val="100"/>
          <w:spacing w:val="0"/>
          <w:color w:val="000000"/>
          <w:position w:val="0"/>
        </w:rPr>
        <w:t xml:space="preserve"> России Н. П. Казаковой;</w:t>
      </w:r>
    </w:p>
    <w:p>
      <w:pPr>
        <w:pStyle w:val="Style5"/>
        <w:widowControl w:val="0"/>
        <w:keepNext w:val="0"/>
        <w:keepLines w:val="0"/>
        <w:shd w:val="clear" w:color="auto" w:fill="auto"/>
        <w:bidi w:val="0"/>
        <w:jc w:val="both"/>
        <w:spacing w:before="0" w:after="252" w:line="260" w:lineRule="exact"/>
        <w:ind w:left="120" w:right="0" w:firstLine="840"/>
      </w:pPr>
      <w:r>
        <w:rPr>
          <w:lang w:val="ru-RU" w:eastAsia="ru-RU" w:bidi="ru-RU"/>
          <w:w w:val="100"/>
          <w:spacing w:val="0"/>
          <w:color w:val="000000"/>
          <w:position w:val="0"/>
        </w:rPr>
        <w:t>члена Комиссии:</w:t>
      </w:r>
    </w:p>
    <w:p>
      <w:pPr>
        <w:pStyle w:val="Style5"/>
        <w:widowControl w:val="0"/>
        <w:keepNext w:val="0"/>
        <w:keepLines w:val="0"/>
        <w:shd w:val="clear" w:color="auto" w:fill="auto"/>
        <w:bidi w:val="0"/>
        <w:jc w:val="both"/>
        <w:spacing w:before="0" w:after="116" w:line="317" w:lineRule="exact"/>
        <w:ind w:left="120" w:right="2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5"/>
        <w:widowControl w:val="0"/>
        <w:keepNext w:val="0"/>
        <w:keepLines w:val="0"/>
        <w:shd w:val="clear" w:color="auto" w:fill="auto"/>
        <w:bidi w:val="0"/>
        <w:jc w:val="both"/>
        <w:spacing w:before="0" w:after="0"/>
        <w:ind w:left="120" w:right="20" w:firstLine="840"/>
      </w:pPr>
      <w:r>
        <w:rPr>
          <w:lang w:val="ru-RU" w:eastAsia="ru-RU" w:bidi="ru-RU"/>
          <w:w w:val="100"/>
          <w:spacing w:val="0"/>
          <w:color w:val="000000"/>
          <w:position w:val="0"/>
        </w:rPr>
        <w:t>на основании решения Комиссии от 07.11.2017 по делу №06/4160-17 по итогам рассмотрения жалобы Заявителя от 30.10.2017 №323 (вх. №4755/09 от</w:t>
      </w:r>
    </w:p>
    <w:p>
      <w:pPr>
        <w:pStyle w:val="Style5"/>
        <w:numPr>
          <w:ilvl w:val="0"/>
          <w:numId w:val="43"/>
        </w:numPr>
        <w:tabs>
          <w:tab w:leader="none" w:pos="1654" w:val="left"/>
        </w:tabs>
        <w:widowControl w:val="0"/>
        <w:keepNext w:val="0"/>
        <w:keepLines w:val="0"/>
        <w:shd w:val="clear" w:color="auto" w:fill="auto"/>
        <w:bidi w:val="0"/>
        <w:jc w:val="both"/>
        <w:spacing w:before="0" w:after="0"/>
        <w:ind w:left="120" w:right="20" w:firstLine="0"/>
      </w:pPr>
      <w:r>
        <w:rPr>
          <w:lang w:val="ru-RU" w:eastAsia="ru-RU" w:bidi="ru-RU"/>
          <w:w w:val="100"/>
          <w:spacing w:val="0"/>
          <w:color w:val="000000"/>
          <w:position w:val="0"/>
        </w:rPr>
        <w:t>на действия Заказчика при проведении электронного аукциона «Ремонт асфальтобетонного покрытия территории базы» (извещение №0575600000317000080)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w:t>
      </w:r>
      <w:r>
        <w:br w:type="page"/>
      </w:r>
    </w:p>
    <w:p>
      <w:pPr>
        <w:pStyle w:val="Style5"/>
        <w:widowControl w:val="0"/>
        <w:keepNext w:val="0"/>
        <w:keepLines w:val="0"/>
        <w:shd w:val="clear" w:color="auto" w:fill="auto"/>
        <w:bidi w:val="0"/>
        <w:jc w:val="both"/>
        <w:spacing w:before="0" w:after="289"/>
        <w:ind w:left="20" w:right="20" w:firstLine="0"/>
      </w:pPr>
      <w:r>
        <w:rPr>
          <w:lang w:val="ru-RU" w:eastAsia="ru-RU" w:bidi="ru-RU"/>
          <w:w w:val="100"/>
          <w:spacing w:val="0"/>
          <w:color w:val="000000"/>
          <w:position w:val="0"/>
        </w:rPr>
        <w:t>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21"/>
        </w:rPr>
        <w:t>ици</w:t>
      </w:r>
      <w:r>
        <w:rPr>
          <w:lang w:val="ru-RU" w:eastAsia="ru-RU" w:bidi="ru-RU"/>
          <w:w w:val="100"/>
          <w:spacing w:val="0"/>
          <w:color w:val="000000"/>
          <w:position w:val="0"/>
        </w:rPr>
        <w:t>и Российской Федерации 27.02.2015 за №36262,</w:t>
      </w:r>
    </w:p>
    <w:p>
      <w:pPr>
        <w:pStyle w:val="Style5"/>
        <w:widowControl w:val="0"/>
        <w:keepNext w:val="0"/>
        <w:keepLines w:val="0"/>
        <w:shd w:val="clear" w:color="auto" w:fill="auto"/>
        <w:bidi w:val="0"/>
        <w:jc w:val="center"/>
        <w:spacing w:before="0" w:after="248" w:line="260" w:lineRule="exact"/>
        <w:ind w:left="20" w:right="0" w:firstLine="0"/>
      </w:pPr>
      <w:r>
        <w:rPr>
          <w:lang w:val="ru-RU" w:eastAsia="ru-RU" w:bidi="ru-RU"/>
          <w:w w:val="100"/>
          <w:spacing w:val="0"/>
          <w:color w:val="000000"/>
          <w:position w:val="0"/>
        </w:rPr>
        <w:t>ПРЕДПИСЫВАЕТ:</w:t>
      </w:r>
    </w:p>
    <w:p>
      <w:pPr>
        <w:pStyle w:val="Style5"/>
        <w:numPr>
          <w:ilvl w:val="0"/>
          <w:numId w:val="45"/>
        </w:numPr>
        <w:widowControl w:val="0"/>
        <w:keepNext w:val="0"/>
        <w:keepLines w:val="0"/>
        <w:shd w:val="clear" w:color="auto" w:fill="auto"/>
        <w:bidi w:val="0"/>
        <w:jc w:val="both"/>
        <w:spacing w:before="0" w:after="236"/>
        <w:ind w:left="20" w:right="20" w:firstLine="860"/>
      </w:pPr>
      <w:r>
        <w:rPr>
          <w:lang w:val="ru-RU" w:eastAsia="ru-RU" w:bidi="ru-RU"/>
          <w:w w:val="100"/>
          <w:spacing w:val="0"/>
          <w:color w:val="000000"/>
          <w:position w:val="0"/>
        </w:rPr>
        <w:t xml:space="preserve"> Заказчику, Аукционной комиссии Заказчика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lang w:val="en-US" w:eastAsia="en-US" w:bidi="en-US"/>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5"/>
        <w:numPr>
          <w:ilvl w:val="0"/>
          <w:numId w:val="9"/>
        </w:numPr>
        <w:widowControl w:val="0"/>
        <w:keepNext w:val="0"/>
        <w:keepLines w:val="0"/>
        <w:shd w:val="clear" w:color="auto" w:fill="auto"/>
        <w:bidi w:val="0"/>
        <w:jc w:val="both"/>
        <w:spacing w:before="0" w:after="248" w:line="326" w:lineRule="exact"/>
        <w:ind w:left="20" w:right="20" w:firstLine="860"/>
      </w:pPr>
      <w:r>
        <w:rPr>
          <w:lang w:val="ru-RU" w:eastAsia="ru-RU" w:bidi="ru-RU"/>
          <w:w w:val="100"/>
          <w:spacing w:val="0"/>
          <w:color w:val="000000"/>
          <w:position w:val="0"/>
        </w:rPr>
        <w:t xml:space="preserve"> отменить протоколы, составленные при проведении Аукциона, и разместить информацию об отмене протоколов на официальном сайте;</w:t>
      </w:r>
    </w:p>
    <w:p>
      <w:pPr>
        <w:pStyle w:val="Style5"/>
        <w:numPr>
          <w:ilvl w:val="0"/>
          <w:numId w:val="9"/>
        </w:numPr>
        <w:widowControl w:val="0"/>
        <w:keepNext w:val="0"/>
        <w:keepLines w:val="0"/>
        <w:shd w:val="clear" w:color="auto" w:fill="auto"/>
        <w:bidi w:val="0"/>
        <w:jc w:val="both"/>
        <w:spacing w:before="0" w:after="286" w:line="317" w:lineRule="exact"/>
        <w:ind w:left="20" w:right="2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 и обеспечения заявок на участие в Аукционе.</w:t>
      </w:r>
    </w:p>
    <w:p>
      <w:pPr>
        <w:pStyle w:val="Style5"/>
        <w:numPr>
          <w:ilvl w:val="0"/>
          <w:numId w:val="45"/>
        </w:numPr>
        <w:widowControl w:val="0"/>
        <w:keepNext w:val="0"/>
        <w:keepLines w:val="0"/>
        <w:shd w:val="clear" w:color="auto" w:fill="auto"/>
        <w:bidi w:val="0"/>
        <w:jc w:val="both"/>
        <w:spacing w:before="0" w:after="253" w:line="260" w:lineRule="exact"/>
        <w:ind w:left="20" w:right="0" w:firstLine="860"/>
      </w:pPr>
      <w:r>
        <w:rPr>
          <w:lang w:val="ru-RU" w:eastAsia="ru-RU" w:bidi="ru-RU"/>
          <w:w w:val="100"/>
          <w:spacing w:val="0"/>
          <w:color w:val="000000"/>
          <w:position w:val="0"/>
        </w:rPr>
        <w:t xml:space="preserve"> Заказчику:</w:t>
      </w:r>
    </w:p>
    <w:p>
      <w:pPr>
        <w:pStyle w:val="Style5"/>
        <w:numPr>
          <w:ilvl w:val="0"/>
          <w:numId w:val="9"/>
        </w:numPr>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 xml:space="preserve">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07.11.2017 по делу №06/4160-17 и разместить измененную документацию об Аукционе на официальном сайте;</w:t>
      </w:r>
    </w:p>
    <w:p>
      <w:pPr>
        <w:pStyle w:val="Style5"/>
        <w:numPr>
          <w:ilvl w:val="0"/>
          <w:numId w:val="9"/>
        </w:numPr>
        <w:widowControl w:val="0"/>
        <w:keepNext w:val="0"/>
        <w:keepLines w:val="0"/>
        <w:shd w:val="clear" w:color="auto" w:fill="auto"/>
        <w:bidi w:val="0"/>
        <w:jc w:val="both"/>
        <w:spacing w:before="0" w:after="244"/>
        <w:ind w:left="2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w:t>
      </w:r>
    </w:p>
    <w:p>
      <w:pPr>
        <w:pStyle w:val="Style5"/>
        <w:numPr>
          <w:ilvl w:val="0"/>
          <w:numId w:val="45"/>
        </w:numPr>
        <w:widowControl w:val="0"/>
        <w:keepNext w:val="0"/>
        <w:keepLines w:val="0"/>
        <w:shd w:val="clear" w:color="auto" w:fill="auto"/>
        <w:bidi w:val="0"/>
        <w:jc w:val="both"/>
        <w:spacing w:before="0" w:after="286" w:line="317" w:lineRule="exact"/>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5"/>
        <w:numPr>
          <w:ilvl w:val="0"/>
          <w:numId w:val="9"/>
        </w:numPr>
        <w:widowControl w:val="0"/>
        <w:keepNext w:val="0"/>
        <w:keepLines w:val="0"/>
        <w:shd w:val="clear" w:color="auto" w:fill="auto"/>
        <w:bidi w:val="0"/>
        <w:jc w:val="both"/>
        <w:spacing w:before="0" w:after="243" w:line="260" w:lineRule="exact"/>
        <w:ind w:left="2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r>
        <w:br w:type="page"/>
      </w:r>
    </w:p>
    <w:p>
      <w:pPr>
        <w:pStyle w:val="Style5"/>
        <w:numPr>
          <w:ilvl w:val="0"/>
          <w:numId w:val="9"/>
        </w:numPr>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9"/>
        </w:numPr>
        <w:widowControl w:val="0"/>
        <w:keepNext w:val="0"/>
        <w:keepLines w:val="0"/>
        <w:shd w:val="clear" w:color="auto" w:fill="auto"/>
        <w:bidi w:val="0"/>
        <w:jc w:val="both"/>
        <w:spacing w:before="0" w:after="244"/>
        <w:ind w:left="2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5"/>
        <w:numPr>
          <w:ilvl w:val="0"/>
          <w:numId w:val="45"/>
        </w:numPr>
        <w:widowControl w:val="0"/>
        <w:keepNext w:val="0"/>
        <w:keepLines w:val="0"/>
        <w:shd w:val="clear" w:color="auto" w:fill="auto"/>
        <w:bidi w:val="0"/>
        <w:jc w:val="both"/>
        <w:spacing w:before="0" w:after="236" w:line="317" w:lineRule="exact"/>
        <w:ind w:left="20" w:right="20" w:firstLine="860"/>
      </w:pPr>
      <w:r>
        <w:rPr>
          <w:lang w:val="ru-RU" w:eastAsia="ru-RU" w:bidi="ru-RU"/>
          <w:w w:val="100"/>
          <w:spacing w:val="0"/>
          <w:color w:val="000000"/>
          <w:position w:val="0"/>
        </w:rPr>
        <w:t xml:space="preserve"> Заказчику,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07.11.2017 по делу №06/4160-17.</w:t>
      </w:r>
    </w:p>
    <w:p>
      <w:pPr>
        <w:pStyle w:val="Style5"/>
        <w:numPr>
          <w:ilvl w:val="0"/>
          <w:numId w:val="4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Заказчику, Оператору электронной площадки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5"/>
        <w:numPr>
          <w:ilvl w:val="0"/>
          <w:numId w:val="4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№06/12467.</w:t>
      </w:r>
    </w:p>
    <w:p>
      <w:pPr>
        <w:pStyle w:val="Style5"/>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5"/>
        <w:widowControl w:val="0"/>
        <w:keepNext w:val="0"/>
        <w:keepLines w:val="0"/>
        <w:shd w:val="clear" w:color="auto" w:fill="auto"/>
        <w:bidi w:val="0"/>
        <w:jc w:val="both"/>
        <w:spacing w:before="0" w:after="343"/>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5"/>
        <w:tabs>
          <w:tab w:leader="none" w:pos="8077" w:val="right"/>
          <w:tab w:leader="none" w:pos="8410" w:val="right"/>
          <w:tab w:leader="none" w:pos="960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5"/>
        <w:tabs>
          <w:tab w:leader="none" w:pos="9608" w:val="right"/>
          <w:tab w:leader="none" w:pos="8391" w:val="right"/>
          <w:tab w:leader="none" w:pos="953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5"/>
        <w:framePr w:h="240" w:wrap="around" w:vAnchor="text" w:hAnchor="margin" w:x="63"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480" w:left="829" w:right="757" w:bottom="91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5"/>
      <w:numFmt w:val="decimal"/>
      <w:lvlText w:val="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8">
    <w:multiLevelType w:val="multilevel"/>
    <w:lvl w:ilvl="0">
      <w:start w:val="5"/>
      <w:numFmt w:val="decimal"/>
      <w:lvlText w:val="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4.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5"/>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8">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0">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2">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lang w:val="en-US" w:eastAsia="en-US" w:bidi="en-US"/>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5"/>
      <w:szCs w:val="15"/>
      <w:rFonts w:ascii="Times New Roman" w:eastAsia="Times New Roman" w:hAnsi="Times New Roman" w:cs="Times New Roman"/>
    </w:rPr>
  </w:style>
  <w:style w:type="character" w:customStyle="1" w:styleId="CharStyle12">
    <w:name w:val="Основной текст (3) + 13 pt"/>
    <w:basedOn w:val="CharStyle11"/>
    <w:rPr>
      <w:lang w:val="ru-RU" w:eastAsia="ru-RU" w:bidi="ru-RU"/>
      <w:sz w:val="26"/>
      <w:szCs w:val="26"/>
      <w:w w:val="100"/>
      <w:spacing w:val="0"/>
      <w:color w:val="000000"/>
      <w:position w:val="0"/>
    </w:rPr>
  </w:style>
  <w:style w:type="character" w:customStyle="1" w:styleId="CharStyle13">
    <w:name w:val="Основной текст (4)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5">
    <w:name w:val="Основной текст (4) + 13 pt"/>
    <w:basedOn w:val="CharStyle13"/>
    <w:rPr>
      <w:lang w:val="ru-RU" w:eastAsia="ru-RU" w:bidi="ru-RU"/>
      <w:sz w:val="26"/>
      <w:szCs w:val="26"/>
      <w:w w:val="100"/>
      <w:spacing w:val="0"/>
      <w:color w:val="000000"/>
      <w:position w:val="0"/>
    </w:rPr>
  </w:style>
  <w:style w:type="character" w:customStyle="1" w:styleId="CharStyle1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5)_"/>
    <w:basedOn w:val="DefaultParagraphFont"/>
    <w:link w:val="Style17"/>
    <w:rPr>
      <w:b/>
      <w:bCs/>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w:basedOn w:val="CharStyle16"/>
    <w:rPr>
      <w:lang w:val="en-US" w:eastAsia="en-US" w:bidi="en-US"/>
      <w:u w:val="single"/>
      <w:w w:val="100"/>
      <w:spacing w:val="0"/>
      <w:color w:val="000000"/>
      <w:position w:val="0"/>
    </w:rPr>
  </w:style>
  <w:style w:type="character" w:customStyle="1" w:styleId="CharStyle20">
    <w:name w:val="Основной текст"/>
    <w:basedOn w:val="CharStyle16"/>
    <w:rPr>
      <w:lang w:val="en-US" w:eastAsia="en-US" w:bidi="en-US"/>
      <w:w w:val="100"/>
      <w:spacing w:val="0"/>
      <w:color w:val="000000"/>
      <w:position w:val="0"/>
    </w:rPr>
  </w:style>
  <w:style w:type="character" w:customStyle="1" w:styleId="CharStyle21">
    <w:name w:val="Основной текст"/>
    <w:basedOn w:val="CharStyle16"/>
    <w:rPr>
      <w:lang w:val="ru-RU" w:eastAsia="ru-RU" w:bidi="ru-RU"/>
      <w:u w:val="single"/>
      <w:w w:val="100"/>
      <w:spacing w:val="0"/>
      <w:color w:val="000000"/>
      <w:position w:val="0"/>
    </w:rPr>
  </w:style>
  <w:style w:type="character" w:customStyle="1" w:styleId="CharStyle22">
    <w:name w:val="Основной текст"/>
    <w:basedOn w:val="CharStyle16"/>
    <w:rPr>
      <w:lang w:val="ru-RU" w:eastAsia="ru-RU" w:bidi="ru-RU"/>
      <w:u w:val="single"/>
      <w:w w:val="100"/>
      <w:spacing w:val="0"/>
      <w:color w:val="000000"/>
      <w:position w:val="0"/>
    </w:rPr>
  </w:style>
  <w:style w:type="character" w:customStyle="1" w:styleId="CharStyle23">
    <w:name w:val="Основной текст"/>
    <w:basedOn w:val="CharStyle16"/>
    <w:rPr>
      <w:lang w:val="1024"/>
      <w:w w:val="100"/>
      <w:spacing w:val="0"/>
      <w:color w:val="000000"/>
      <w:position w:val="0"/>
    </w:rPr>
  </w:style>
  <w:style w:type="character" w:customStyle="1" w:styleId="CharStyle25">
    <w:name w:val="Основной текст (6)_"/>
    <w:basedOn w:val="DefaultParagraphFont"/>
    <w:link w:val="Style24"/>
    <w:rPr>
      <w:b w:val="0"/>
      <w:bCs w:val="0"/>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6) Exact"/>
    <w:basedOn w:val="DefaultParagraphFont"/>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27">
    <w:name w:val="Основной текст (6)"/>
    <w:basedOn w:val="CharStyle25"/>
    <w:rPr>
      <w:lang w:val="ru-RU" w:eastAsia="ru-RU" w:bidi="ru-RU"/>
      <w:u w:val="single"/>
      <w:w w:val="100"/>
      <w:spacing w:val="0"/>
      <w:color w:val="000000"/>
      <w:position w:val="0"/>
    </w:rPr>
  </w:style>
  <w:style w:type="character" w:customStyle="1" w:styleId="CharStyle28">
    <w:name w:val="Основной текст"/>
    <w:basedOn w:val="CharStyle16"/>
    <w:rPr>
      <w:lang w:val="ru-RU" w:eastAsia="ru-RU" w:bidi="ru-RU"/>
      <w:w w:val="100"/>
      <w:spacing w:val="0"/>
      <w:color w:val="000000"/>
      <w:position w:val="0"/>
    </w:rPr>
  </w:style>
  <w:style w:type="character" w:customStyle="1" w:styleId="CharStyle29">
    <w:name w:val="Основной текст + 11 pt"/>
    <w:basedOn w:val="CharStyle16"/>
    <w:rPr>
      <w:lang w:val="ru-RU" w:eastAsia="ru-RU" w:bidi="ru-RU"/>
      <w:sz w:val="22"/>
      <w:szCs w:val="22"/>
      <w:w w:val="100"/>
      <w:spacing w:val="0"/>
      <w:color w:val="000000"/>
      <w:position w:val="0"/>
    </w:rPr>
  </w:style>
  <w:style w:type="character" w:customStyle="1" w:styleId="CharStyle30">
    <w:name w:val="Основной текст + 11 pt"/>
    <w:basedOn w:val="CharStyle16"/>
    <w:rPr>
      <w:lang w:val="ru-RU" w:eastAsia="ru-RU" w:bidi="ru-RU"/>
      <w:sz w:val="22"/>
      <w:szCs w:val="22"/>
      <w:w w:val="100"/>
      <w:spacing w:val="0"/>
      <w:color w:val="000000"/>
      <w:position w:val="0"/>
    </w:rPr>
  </w:style>
  <w:style w:type="character" w:customStyle="1" w:styleId="CharStyle32">
    <w:name w:val="Подпись к таблице_"/>
    <w:basedOn w:val="DefaultParagraphFont"/>
    <w:link w:val="Style31"/>
    <w:rPr>
      <w:b w:val="0"/>
      <w:bCs w:val="0"/>
      <w:i w:val="0"/>
      <w:iCs w:val="0"/>
      <w:u w:val="none"/>
      <w:strike w:val="0"/>
      <w:smallCaps w:val="0"/>
      <w:sz w:val="26"/>
      <w:szCs w:val="26"/>
      <w:rFonts w:ascii="Times New Roman" w:eastAsia="Times New Roman" w:hAnsi="Times New Roman" w:cs="Times New Roman"/>
    </w:rPr>
  </w:style>
  <w:style w:type="character" w:customStyle="1" w:styleId="CharStyle33">
    <w:name w:val="Подпись к таблице + Интервал 1 pt"/>
    <w:basedOn w:val="CharStyle32"/>
    <w:rPr>
      <w:lang w:val="ru-RU" w:eastAsia="ru-RU" w:bidi="ru-RU"/>
      <w:w w:val="100"/>
      <w:spacing w:val="30"/>
      <w:color w:val="000000"/>
      <w:position w:val="0"/>
    </w:rPr>
  </w:style>
  <w:style w:type="character" w:customStyle="1" w:styleId="CharStyle34">
    <w:name w:val="Основной текст + 10 pt,Полужирный"/>
    <w:basedOn w:val="CharStyle16"/>
    <w:rPr>
      <w:lang w:val="ru-RU" w:eastAsia="ru-RU" w:bidi="ru-RU"/>
      <w:b/>
      <w:bCs/>
      <w:sz w:val="20"/>
      <w:szCs w:val="20"/>
      <w:w w:val="100"/>
      <w:spacing w:val="0"/>
      <w:color w:val="000000"/>
      <w:position w:val="0"/>
    </w:rPr>
  </w:style>
  <w:style w:type="character" w:customStyle="1" w:styleId="CharStyle35">
    <w:name w:val="Подпись к таблице"/>
    <w:basedOn w:val="CharStyle32"/>
    <w:rPr>
      <w:lang w:val="ru-RU" w:eastAsia="ru-RU" w:bidi="ru-RU"/>
      <w:u w:val="single"/>
      <w:w w:val="100"/>
      <w:spacing w:val="0"/>
      <w:color w:val="000000"/>
      <w:position w:val="0"/>
    </w:rPr>
  </w:style>
  <w:style w:type="character" w:customStyle="1" w:styleId="CharStyle36">
    <w:name w:val="Основной текст (2) + Не полужирный"/>
    <w:basedOn w:val="CharStyle8"/>
    <w:rPr>
      <w:lang w:val="ru-RU" w:eastAsia="ru-RU" w:bidi="ru-RU"/>
      <w:b/>
      <w:bCs/>
      <w:w w:val="100"/>
      <w:spacing w:val="0"/>
      <w:color w:val="000000"/>
      <w:position w:val="0"/>
    </w:rPr>
  </w:style>
  <w:style w:type="character" w:customStyle="1" w:styleId="CharStyle37">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2"/>
    </w:rPr>
  </w:style>
  <w:style w:type="character" w:customStyle="1" w:styleId="CharStyle39">
    <w:name w:val="Основной текст (7)_"/>
    <w:basedOn w:val="DefaultParagraphFont"/>
    <w:link w:val="Style38"/>
    <w:rPr>
      <w:b w:val="0"/>
      <w:bCs w:val="0"/>
      <w:i/>
      <w:iCs/>
      <w:u w:val="none"/>
      <w:strike w:val="0"/>
      <w:smallCaps w:val="0"/>
      <w:sz w:val="19"/>
      <w:szCs w:val="19"/>
      <w:rFonts w:ascii="Times New Roman" w:eastAsia="Times New Roman" w:hAnsi="Times New Roman" w:cs="Times New Roman"/>
    </w:rPr>
  </w:style>
  <w:style w:type="character" w:customStyle="1" w:styleId="CharStyle40">
    <w:name w:val="Основной текст (7) + 11 pt,Не курсив"/>
    <w:basedOn w:val="CharStyle39"/>
    <w:rPr>
      <w:lang w:val="ru-RU" w:eastAsia="ru-RU" w:bidi="ru-RU"/>
      <w:i/>
      <w:iCs/>
      <w:sz w:val="22"/>
      <w:szCs w:val="22"/>
      <w:w w:val="100"/>
      <w:spacing w:val="0"/>
      <w:color w:val="000000"/>
      <w:position w:val="0"/>
    </w:rPr>
  </w:style>
  <w:style w:type="character" w:customStyle="1" w:styleId="CharStyle41">
    <w:name w:val="Основной текст + Интервал 1 pt"/>
    <w:basedOn w:val="CharStyle16"/>
    <w:rPr>
      <w:lang w:val="ru-RU" w:eastAsia="ru-RU" w:bidi="ru-RU"/>
      <w:w w:val="100"/>
      <w:spacing w:val="30"/>
      <w:color w:val="000000"/>
      <w:position w:val="0"/>
    </w:rPr>
  </w:style>
  <w:style w:type="character" w:customStyle="1" w:styleId="CharStyle42">
    <w:name w:val="Основной текст + 9,5 pt,Полужирный,Интервал 0 pt Exact"/>
    <w:basedOn w:val="CharStyle16"/>
    <w:rPr>
      <w:lang w:val="ru-RU" w:eastAsia="ru-RU" w:bidi="ru-RU"/>
      <w:b/>
      <w:bCs/>
      <w:sz w:val="19"/>
      <w:szCs w:val="19"/>
      <w:w w:val="100"/>
      <w:spacing w:val="2"/>
      <w:color w:val="000000"/>
      <w:position w:val="0"/>
    </w:rPr>
  </w:style>
  <w:style w:type="character" w:customStyle="1" w:styleId="CharStyle43">
    <w:name w:val="Основной текст (2) + 12 pt,Не полужирный,Интервал 0 pt Exact"/>
    <w:basedOn w:val="CharStyle8"/>
    <w:rPr>
      <w:lang w:val="ru-RU" w:eastAsia="ru-RU" w:bidi="ru-RU"/>
      <w:b/>
      <w:bCs/>
      <w:sz w:val="24"/>
      <w:szCs w:val="24"/>
      <w:w w:val="100"/>
      <w:spacing w:val="1"/>
      <w:color w:val="000000"/>
      <w:position w:val="0"/>
    </w:rPr>
  </w:style>
  <w:style w:type="character" w:customStyle="1" w:styleId="CharStyle44">
    <w:name w:val="Основной текст + Georgia,12 pt"/>
    <w:basedOn w:val="CharStyle16"/>
    <w:rPr>
      <w:lang w:val="ru-RU" w:eastAsia="ru-RU" w:bidi="ru-RU"/>
      <w:sz w:val="24"/>
      <w:szCs w:val="24"/>
      <w:rFonts w:ascii="Georgia" w:eastAsia="Georgia" w:hAnsi="Georgia" w:cs="Georgia"/>
      <w:w w:val="100"/>
      <w:spacing w:val="0"/>
      <w:color w:val="000000"/>
      <w:position w:val="0"/>
    </w:rPr>
  </w:style>
  <w:style w:type="paragraph" w:customStyle="1" w:styleId="Style3">
    <w:name w:val="Основной текст (4)"/>
    <w:basedOn w:val="Normal"/>
    <w:link w:val="CharStyle13"/>
    <w:pPr>
      <w:widowControl w:val="0"/>
      <w:shd w:val="clear" w:color="auto" w:fill="FFFFFF"/>
      <w:jc w:val="center"/>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
    <w:name w:val="Основной текст"/>
    <w:basedOn w:val="Normal"/>
    <w:link w:val="CharStyle16"/>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80"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line="30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center"/>
      <w:spacing w:before="30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spacing w:line="254" w:lineRule="exact"/>
      <w:ind w:hanging="600"/>
    </w:pPr>
    <w:rPr>
      <w:b w:val="0"/>
      <w:bCs w:val="0"/>
      <w:i w:val="0"/>
      <w:iCs w:val="0"/>
      <w:u w:val="none"/>
      <w:strike w:val="0"/>
      <w:smallCaps w:val="0"/>
      <w:sz w:val="22"/>
      <w:szCs w:val="22"/>
      <w:rFonts w:ascii="Times New Roman" w:eastAsia="Times New Roman" w:hAnsi="Times New Roman" w:cs="Times New Roman"/>
    </w:rPr>
  </w:style>
  <w:style w:type="paragraph" w:customStyle="1" w:styleId="Style31">
    <w:name w:val="Подпись к таблице"/>
    <w:basedOn w:val="Normal"/>
    <w:link w:val="CharStyle3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8">
    <w:name w:val="Основной текст (7)"/>
    <w:basedOn w:val="Normal"/>
    <w:link w:val="CharStyle39"/>
    <w:pPr>
      <w:widowControl w:val="0"/>
      <w:shd w:val="clear" w:color="auto" w:fill="FFFFFF"/>
      <w:jc w:val="both"/>
      <w:spacing w:line="269"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