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14" w:left="2713" w:right="8079" w:bottom="933"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200" w:firstLine="0"/>
      </w:pPr>
      <w:r>
        <w:rPr>
          <w:lang w:val="ru-RU" w:eastAsia="ru-RU" w:bidi="ru-RU"/>
          <w:w w:val="100"/>
          <w:spacing w:val="0"/>
          <w:color w:val="000000"/>
          <w:position w:val="0"/>
        </w:rPr>
        <w:t>10.11.2017 №06/12879 На б/н от 31.10.2017</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Управление капитального строительства и жилищно-коммунального хозяйства Администрации города Алушты Республики Крым 298516, Республика Крым, г. Алушта, пл. Советская 1</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Общество с ограниченной ответственностью «СпецПроект»</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914" w:left="826" w:right="1109" w:bottom="933" w:header="0" w:footer="3" w:gutter="0"/>
          <w:rtlGutter w:val="0"/>
          <w:cols w:num="2" w:space="178"/>
          <w:noEndnote/>
          <w:docGrid w:linePitch="360"/>
        </w:sectPr>
      </w:pPr>
      <w:r>
        <w:rPr>
          <w:lang w:val="ru-RU" w:eastAsia="ru-RU" w:bidi="ru-RU"/>
          <w:w w:val="100"/>
          <w:spacing w:val="0"/>
          <w:color w:val="000000"/>
          <w:position w:val="0"/>
        </w:rPr>
        <w:t>460024, Оренбургская обл., г. Оренбург, ул. Туркестанская, 2а</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914" w:left="2473" w:right="2195" w:bottom="933" w:header="0" w:footer="3" w:gutter="0"/>
          <w:rtlGutter w:val="0"/>
          <w:cols w:space="720"/>
          <w:noEndnote/>
          <w:docGrid w:linePitch="360"/>
        </w:sectPr>
      </w:pPr>
      <w:r>
        <w:rPr>
          <w:lang w:val="ru-RU" w:eastAsia="ru-RU" w:bidi="ru-RU"/>
          <w:w w:val="100"/>
          <w:spacing w:val="0"/>
          <w:color w:val="000000"/>
          <w:position w:val="0"/>
        </w:rPr>
        <w:t>Решение по делу №06/4155-17 о нарушении законодательства Российской Федерации о контрактной системе в сфере закупок</w:t>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67" w:y="6"/>
        <w:widowControl w:val="0"/>
        <w:keepNext w:val="0"/>
        <w:keepLines w:val="0"/>
        <w:shd w:val="clear" w:color="auto" w:fill="auto"/>
        <w:bidi w:val="0"/>
        <w:jc w:val="left"/>
        <w:spacing w:before="0" w:after="0" w:line="240" w:lineRule="exact"/>
        <w:ind w:left="100" w:right="0" w:firstLine="0"/>
      </w:pPr>
      <w:r>
        <w:rPr>
          <w:rStyle w:val="CharStyle11"/>
          <w:spacing w:val="0"/>
        </w:rPr>
        <w:t>08.11.2017</w:t>
      </w:r>
    </w:p>
    <w:p>
      <w:pPr>
        <w:pStyle w:val="Style7"/>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при участии представителя интересов Заказчика В. А. Баркова (начальник), представители Заявителя на заседание Комиссии не явились, — рассмотрев жалобу Заявителя от 30.10.2017 б/н (вх. №4739/09 от 31.10.2017) на действия Единой комиссии Заказчика при проведении при проведении открытого конкурса «Выполнение работ по подготовке проектно-сметной документации по капитальному ремонту жилых зданий (общежитий)» (извещение №0875300036717000034) (далее - Конкурс), в соответствии со статьей 106</w:t>
      </w:r>
      <w:r>
        <w:br w:type="page"/>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Заказчика при проведении Конкурса.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По мнению Заявителя, его права и законные интересы нарушены действиями Единой комиссии Заказчика, признавшей заявку ИП Слободенюк Т. И. соответствующей требованиям Конкурсной документации и Закона о контрактной системе, т.к. </w:t>
      </w:r>
      <w:r>
        <w:rPr>
          <w:rStyle w:val="CharStyle12"/>
        </w:rPr>
        <w:t>«...</w:t>
      </w:r>
      <w:r>
        <w:rPr>
          <w:lang w:val="ru-RU" w:eastAsia="ru-RU" w:bidi="ru-RU"/>
          <w:w w:val="100"/>
          <w:spacing w:val="0"/>
          <w:color w:val="000000"/>
          <w:position w:val="0"/>
        </w:rPr>
        <w:t xml:space="preserve"> ИП Слободенюк Т. И. не внесла взнос в компенсационный фонд обеспечения договорных обязательств.» (цитата жалобы).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№06/12462, направленное Заявителю, Заказчику и размещенное на официальном сайте Единой информационной системы в сфере закупок (далее - официальный сайт).</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14:20 03.11.2017.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16:30 08.11.2017.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не согласился с доводами жалобы Заявителя и сообщил, что при проведении Конкурса Заказчик и Единая комиссия Заказчика руководствовались положениями Закона о контрактной системе и Конкурсной документации.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02.10.2017;</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открытый конкурс;</w:t>
      </w:r>
    </w:p>
    <w:p>
      <w:pPr>
        <w:pStyle w:val="Style7"/>
        <w:numPr>
          <w:ilvl w:val="0"/>
          <w:numId w:val="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- 3 450 000,00 рублей;</w:t>
      </w:r>
    </w:p>
    <w:p>
      <w:pPr>
        <w:pStyle w:val="Style7"/>
        <w:numPr>
          <w:ilvl w:val="0"/>
          <w:numId w:val="3"/>
        </w:numPr>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 xml:space="preserve"> дата и время окончания подачи заявок: 23.10.2017 09:00; дата и время вскрытия конвертов, открытия доступа к электронным документам заявок участников: 23.10.2017 09:00; дата рассмотрения и оценки заявок на участие в конкурсе: 27.10.2017;</w:t>
      </w:r>
    </w:p>
    <w:p>
      <w:pPr>
        <w:pStyle w:val="Style7"/>
        <w:numPr>
          <w:ilvl w:val="0"/>
          <w:numId w:val="3"/>
        </w:numPr>
        <w:widowControl w:val="0"/>
        <w:keepNext w:val="0"/>
        <w:keepLines w:val="0"/>
        <w:shd w:val="clear" w:color="auto" w:fill="auto"/>
        <w:bidi w:val="0"/>
        <w:jc w:val="both"/>
        <w:spacing w:before="0" w:after="0" w:line="322" w:lineRule="exact"/>
        <w:ind w:left="120" w:right="0" w:firstLine="860"/>
      </w:pPr>
      <w:r>
        <w:rPr>
          <w:lang w:val="ru-RU" w:eastAsia="ru-RU" w:bidi="ru-RU"/>
          <w:w w:val="100"/>
          <w:spacing w:val="0"/>
          <w:color w:val="000000"/>
          <w:position w:val="0"/>
        </w:rPr>
        <w:t xml:space="preserve"> на участие поданы 2 заявки, все признаны соответствующими;</w:t>
      </w:r>
    </w:p>
    <w:p>
      <w:pPr>
        <w:pStyle w:val="Style7"/>
        <w:numPr>
          <w:ilvl w:val="0"/>
          <w:numId w:val="3"/>
        </w:numPr>
        <w:widowControl w:val="0"/>
        <w:keepNext w:val="0"/>
        <w:keepLines w:val="0"/>
        <w:shd w:val="clear" w:color="auto" w:fill="auto"/>
        <w:bidi w:val="0"/>
        <w:jc w:val="both"/>
        <w:spacing w:before="0" w:after="0" w:line="322" w:lineRule="exact"/>
        <w:ind w:left="120" w:right="0" w:firstLine="860"/>
      </w:pPr>
      <w:r>
        <w:rPr>
          <w:lang w:val="ru-RU" w:eastAsia="ru-RU" w:bidi="ru-RU"/>
          <w:w w:val="100"/>
          <w:spacing w:val="0"/>
          <w:color w:val="000000"/>
          <w:position w:val="0"/>
        </w:rPr>
        <w:t xml:space="preserve"> победителем Конкурса признан ИП Слободенюк Т. И.</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В силу части 2 статьи 53 Закона о контрактной системе заявка на участие в 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В соответствии с частью 3 статьи 53 Закона о контрактной системе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Согласно части 3.1. статьи 53 Закона о контрактной системе в случае установления недостоверности информации, содержащейся в документах, представленных участником конкурса в соответствии с частью 2 статьи 51 настоящего Федерального закона, конкурсная комиссия обязана отстранить такого участника от участия в конкурсе на любом этапе его проведения.</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В силу пункта «г» части 2 статьи 51 Закона о контрактной системе заявка на участие в открытом конкурсе должна содержать всю указанную заказчиком в конкурсной документации информацию, а именно: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w:t>
      </w:r>
      <w:r>
        <w:fldChar w:fldCharType="begin"/>
      </w:r>
      <w:r>
        <w:rPr>
          <w:color w:val="000000"/>
        </w:rPr>
        <w:instrText> HYPERLINK "http://www.consultant.ru/document/cons_doc_LAW_144624/be7f337d9b35705ac035531878c8d15c2b09b36d/%23dst100336" </w:instrText>
      </w:r>
      <w:r>
        <w:fldChar w:fldCharType="separate"/>
      </w:r>
      <w:r>
        <w:rPr>
          <w:rStyle w:val="Hyperlink"/>
          <w:lang w:val="ru-RU" w:eastAsia="ru-RU" w:bidi="ru-RU"/>
          <w:w w:val="100"/>
          <w:spacing w:val="0"/>
          <w:position w:val="0"/>
        </w:rPr>
        <w:t xml:space="preserve"> пунктом 1</w:t>
      </w:r>
      <w:r>
        <w:fldChar w:fldCharType="end"/>
      </w:r>
      <w:r>
        <w:rPr>
          <w:lang w:val="ru-RU" w:eastAsia="ru-RU" w:bidi="ru-RU"/>
          <w:w w:val="100"/>
          <w:spacing w:val="0"/>
          <w:color w:val="000000"/>
          <w:position w:val="0"/>
        </w:rPr>
        <w:t xml:space="preserve"> </w:t>
      </w:r>
      <w:r>
        <w:fldChar w:fldCharType="begin"/>
      </w:r>
      <w:r>
        <w:rPr>
          <w:color w:val="000000"/>
        </w:rPr>
        <w:instrText> HYPERLINK "http://www.consultant.ru/document/cons_doc_LAW_144624/be7f337d9b35705ac035531878c8d15c2b09b36d/%23dst100336" </w:instrText>
      </w:r>
      <w:r>
        <w:fldChar w:fldCharType="separate"/>
      </w:r>
      <w:r>
        <w:rPr>
          <w:rStyle w:val="Hyperlink"/>
          <w:lang w:val="ru-RU" w:eastAsia="ru-RU" w:bidi="ru-RU"/>
          <w:w w:val="100"/>
          <w:spacing w:val="0"/>
          <w:position w:val="0"/>
        </w:rPr>
        <w:t xml:space="preserve">части 1 статьи 31 </w:t>
      </w:r>
      <w:r>
        <w:fldChar w:fldCharType="end"/>
      </w:r>
      <w:r>
        <w:rPr>
          <w:lang w:val="ru-RU" w:eastAsia="ru-RU" w:bidi="ru-RU"/>
          <w:w w:val="100"/>
          <w:spacing w:val="0"/>
          <w:color w:val="000000"/>
          <w:position w:val="0"/>
        </w:rPr>
        <w:t>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w:t>
      </w:r>
      <w:r>
        <w:fldChar w:fldCharType="begin"/>
      </w:r>
      <w:r>
        <w:rPr>
          <w:color w:val="000000"/>
        </w:rPr>
        <w:instrText> HYPERLINK "http://www.consultant.ru/document/cons_doc_LAW_144624/be7f337d9b35705ac035531878c8d15c2b09b36d/%23dst100338" </w:instrText>
      </w:r>
      <w:r>
        <w:fldChar w:fldCharType="separate"/>
      </w:r>
      <w:r>
        <w:rPr>
          <w:rStyle w:val="Hyperlink"/>
          <w:lang w:val="ru-RU" w:eastAsia="ru-RU" w:bidi="ru-RU"/>
          <w:w w:val="100"/>
          <w:spacing w:val="0"/>
          <w:position w:val="0"/>
        </w:rPr>
        <w:t xml:space="preserve"> пунктами 3 </w:t>
      </w:r>
      <w:r>
        <w:fldChar w:fldCharType="end"/>
      </w:r>
      <w:r>
        <w:rPr>
          <w:lang w:val="ru-RU" w:eastAsia="ru-RU" w:bidi="ru-RU"/>
          <w:w w:val="100"/>
          <w:spacing w:val="0"/>
          <w:color w:val="000000"/>
          <w:position w:val="0"/>
        </w:rPr>
        <w:t>-</w:t>
      </w:r>
      <w:r>
        <w:fldChar w:fldCharType="begin"/>
      </w:r>
      <w:r>
        <w:rPr>
          <w:color w:val="000000"/>
        </w:rPr>
        <w:instrText> HYPERLINK "http://www.consultant.ru/document/cons_doc_LAW_144624/be7f337d9b35705ac035531878c8d15c2b09b36d/%23dst101709" </w:instrText>
      </w:r>
      <w:r>
        <w:fldChar w:fldCharType="separate"/>
      </w:r>
      <w:r>
        <w:rPr>
          <w:rStyle w:val="Hyperlink"/>
          <w:lang w:val="ru-RU" w:eastAsia="ru-RU" w:bidi="ru-RU"/>
          <w:w w:val="100"/>
          <w:spacing w:val="0"/>
          <w:position w:val="0"/>
        </w:rPr>
        <w:t xml:space="preserve"> 9 части 1 статьи 31 </w:t>
      </w:r>
      <w:r>
        <w:fldChar w:fldCharType="end"/>
      </w:r>
      <w:r>
        <w:rPr>
          <w:lang w:val="ru-RU" w:eastAsia="ru-RU" w:bidi="ru-RU"/>
          <w:w w:val="100"/>
          <w:spacing w:val="0"/>
          <w:color w:val="000000"/>
          <w:position w:val="0"/>
        </w:rPr>
        <w:t>настоящего Закона о контрактной системе.</w:t>
      </w:r>
    </w:p>
    <w:p>
      <w:pPr>
        <w:pStyle w:val="Style7"/>
        <w:widowControl w:val="0"/>
        <w:keepNext w:val="0"/>
        <w:keepLines w:val="0"/>
        <w:shd w:val="clear" w:color="auto" w:fill="auto"/>
        <w:bidi w:val="0"/>
        <w:jc w:val="both"/>
        <w:spacing w:before="0" w:after="0" w:line="322" w:lineRule="exact"/>
        <w:ind w:left="120" w:right="0" w:firstLine="860"/>
      </w:pPr>
      <w:r>
        <w:rPr>
          <w:lang w:val="ru-RU" w:eastAsia="ru-RU" w:bidi="ru-RU"/>
          <w:w w:val="100"/>
          <w:spacing w:val="0"/>
          <w:color w:val="000000"/>
          <w:position w:val="0"/>
        </w:rPr>
        <w:t>Заказчик в Конкурсной документации установил: «.</w:t>
      </w:r>
    </w:p>
    <w:p>
      <w:pPr>
        <w:pStyle w:val="Style13"/>
        <w:framePr w:w="10330"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РАЗДЕЛ 11. ТРЕБОВАНИЯ К СОДЕРЖАНИЮ, К ФОРМЕ И СОСТАВУ ЗАЯВКИ НА УЧАСТИЕ В ОТКРЫТОМ КОНКУРСЕ</w:t>
      </w:r>
    </w:p>
    <w:tbl>
      <w:tblPr>
        <w:tblOverlap w:val="never"/>
        <w:tblLayout w:type="fixed"/>
        <w:jc w:val="center"/>
      </w:tblPr>
      <w:tblGrid>
        <w:gridCol w:w="1109"/>
        <w:gridCol w:w="9221"/>
      </w:tblGrid>
      <w:tr>
        <w:trPr>
          <w:trHeight w:val="523"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120" w:line="210" w:lineRule="exact"/>
              <w:ind w:left="0" w:right="0" w:firstLine="0"/>
            </w:pPr>
            <w:r>
              <w:rPr>
                <w:rStyle w:val="CharStyle15"/>
              </w:rPr>
              <w:t>№</w:t>
            </w:r>
          </w:p>
          <w:p>
            <w:pPr>
              <w:pStyle w:val="Style7"/>
              <w:framePr w:w="10330" w:wrap="notBeside" w:vAnchor="text" w:hAnchor="text" w:xAlign="center" w:y="1"/>
              <w:widowControl w:val="0"/>
              <w:keepNext w:val="0"/>
              <w:keepLines w:val="0"/>
              <w:shd w:val="clear" w:color="auto" w:fill="auto"/>
              <w:bidi w:val="0"/>
              <w:jc w:val="center"/>
              <w:spacing w:before="120" w:after="0" w:line="210" w:lineRule="exact"/>
              <w:ind w:left="0" w:right="0" w:firstLine="0"/>
            </w:pPr>
            <w:r>
              <w:rPr>
                <w:rStyle w:val="CharStyle15"/>
              </w:rPr>
              <w:t>позиции</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5"/>
              </w:rPr>
              <w:t>ПЕРЕЧЕНЬ ДОКУМЕНТОВ, ВХОДЯЩИХ В СОСТАВ ЗАЯВКИ</w:t>
            </w:r>
          </w:p>
        </w:tc>
      </w:tr>
      <w:tr>
        <w:trPr>
          <w:trHeight w:val="1022"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1</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6"/>
              </w:rPr>
              <w:t>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или копия этого платежного поручения либо банковская гарантия, соответствующая требованиям статьи 45 44-ФЗ);</w:t>
            </w:r>
          </w:p>
        </w:tc>
      </w:tr>
      <w:tr>
        <w:trPr>
          <w:trHeight w:val="768"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2</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6"/>
              </w:rPr>
              <w:t>Выписка из ЕГРЮЛ или засвидетельствованная в нотариальном порядке копия такой выписки (для юридического лица), которая получена не ранее чем за шесть месяцев до даты размещения в единой информационной системе извещения о проведении открытого конкурса</w:t>
            </w:r>
          </w:p>
        </w:tc>
      </w:tr>
      <w:tr>
        <w:trPr>
          <w:trHeight w:val="1022"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3</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16"/>
              </w:rPr>
              <w:t>Выписка из ЕГРИП или засвидетельствованная в нотариальном порядке копия такой выписки (для индивидуального предпринимателя), которая получена не ранее чем за шесть месяцев до даты размещения в единой информационной системе извещения о проведении открытого конкурса</w:t>
            </w:r>
          </w:p>
        </w:tc>
      </w:tr>
      <w:tr>
        <w:trPr>
          <w:trHeight w:val="274" w:hRule="exact"/>
        </w:trPr>
        <w:tc>
          <w:tcPr>
            <w:shd w:val="clear" w:color="auto" w:fill="FFFFFF"/>
            <w:tcBorders>
              <w:left w:val="single" w:sz="4"/>
              <w:top w:val="single" w:sz="4"/>
              <w:bottom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4</w:t>
            </w:r>
          </w:p>
        </w:tc>
        <w:tc>
          <w:tcPr>
            <w:shd w:val="clear" w:color="auto" w:fill="FFFFFF"/>
            <w:tcBorders>
              <w:left w:val="single" w:sz="4"/>
              <w:right w:val="single" w:sz="4"/>
              <w:top w:val="single" w:sz="4"/>
              <w:bottom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6"/>
              </w:rPr>
              <w:t>Копии документов, удостоверяющих личность (для иного физического лица)</w:t>
            </w:r>
          </w:p>
        </w:tc>
      </w:tr>
    </w:tbl>
    <w:p>
      <w:pPr>
        <w:widowControl w:val="0"/>
        <w:rPr>
          <w:sz w:val="2"/>
          <w:szCs w:val="2"/>
        </w:rPr>
      </w:pPr>
    </w:p>
    <w:tbl>
      <w:tblPr>
        <w:tblOverlap w:val="never"/>
        <w:tblLayout w:type="fixed"/>
        <w:jc w:val="center"/>
      </w:tblPr>
      <w:tblGrid>
        <w:gridCol w:w="1109"/>
        <w:gridCol w:w="1699"/>
        <w:gridCol w:w="7522"/>
      </w:tblGrid>
      <w:tr>
        <w:trPr>
          <w:trHeight w:val="523"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120" w:line="210" w:lineRule="exact"/>
              <w:ind w:left="0" w:right="0" w:firstLine="0"/>
            </w:pPr>
            <w:r>
              <w:rPr>
                <w:rStyle w:val="CharStyle15"/>
              </w:rPr>
              <w:t>№</w:t>
            </w:r>
          </w:p>
          <w:p>
            <w:pPr>
              <w:pStyle w:val="Style7"/>
              <w:framePr w:w="10330" w:wrap="notBeside" w:vAnchor="text" w:hAnchor="text" w:xAlign="center" w:y="1"/>
              <w:widowControl w:val="0"/>
              <w:keepNext w:val="0"/>
              <w:keepLines w:val="0"/>
              <w:shd w:val="clear" w:color="auto" w:fill="auto"/>
              <w:bidi w:val="0"/>
              <w:jc w:val="center"/>
              <w:spacing w:before="120" w:after="0" w:line="210" w:lineRule="exact"/>
              <w:ind w:left="0" w:right="0" w:firstLine="0"/>
            </w:pPr>
            <w:r>
              <w:rPr>
                <w:rStyle w:val="CharStyle15"/>
              </w:rPr>
              <w:t>позиции</w:t>
            </w:r>
          </w:p>
        </w:tc>
        <w:tc>
          <w:tcPr>
            <w:shd w:val="clear" w:color="auto" w:fill="FFFFFF"/>
            <w:gridSpan w:val="2"/>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5"/>
              </w:rPr>
              <w:t>ПЕРЕЧЕНЬ ДОКУМЕНТОВ, ВХОДЯЩИХ В СОСТАВ ЗАЯВКИ</w:t>
            </w:r>
          </w:p>
        </w:tc>
      </w:tr>
      <w:tr>
        <w:trPr>
          <w:trHeight w:val="768"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5</w:t>
            </w:r>
          </w:p>
        </w:tc>
        <w:tc>
          <w:tcPr>
            <w:shd w:val="clear" w:color="auto" w:fill="FFFFFF"/>
            <w:gridSpan w:val="2"/>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6"/>
              </w:rPr>
              <w:t>Надлежащим образом заверенный перевод на русский язык документов о государственной регистрации юридического лица (для юридического лица) в соответствии с законодательством соответствующего государства (для иностранного лица)</w:t>
            </w:r>
          </w:p>
        </w:tc>
      </w:tr>
      <w:tr>
        <w:trPr>
          <w:trHeight w:val="1022"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6</w:t>
            </w:r>
          </w:p>
        </w:tc>
        <w:tc>
          <w:tcPr>
            <w:shd w:val="clear" w:color="auto" w:fill="FFFFFF"/>
            <w:gridSpan w:val="2"/>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6"/>
              </w:rPr>
              <w:t>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(для индивидуального предпринимателя) в соответствии с законодательством соответствующего государства (для иностранного лица)</w:t>
            </w:r>
          </w:p>
        </w:tc>
      </w:tr>
      <w:tr>
        <w:trPr>
          <w:trHeight w:val="3298"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7</w:t>
            </w:r>
          </w:p>
        </w:tc>
        <w:tc>
          <w:tcPr>
            <w:shd w:val="clear" w:color="auto" w:fill="FFFFFF"/>
            <w:gridSpan w:val="2"/>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6"/>
              </w:rPr>
              <w:t>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tc>
      </w:tr>
      <w:tr>
        <w:trPr>
          <w:trHeight w:val="264"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8</w:t>
            </w:r>
          </w:p>
        </w:tc>
        <w:tc>
          <w:tcPr>
            <w:shd w:val="clear" w:color="auto" w:fill="FFFFFF"/>
            <w:gridSpan w:val="2"/>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6"/>
              </w:rPr>
              <w:t>Копии учредительных документов участника открытого конкурса (для юридических лиц)</w:t>
            </w:r>
          </w:p>
        </w:tc>
      </w:tr>
      <w:tr>
        <w:trPr>
          <w:trHeight w:val="1781" w:hRule="exact"/>
        </w:trPr>
        <w:tc>
          <w:tcPr>
            <w:shd w:val="clear" w:color="auto" w:fill="FFFFFF"/>
            <w:tcBorders>
              <w:left w:val="single" w:sz="4"/>
              <w:top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9</w:t>
            </w:r>
          </w:p>
        </w:tc>
        <w:tc>
          <w:tcPr>
            <w:shd w:val="clear" w:color="auto" w:fill="FFFFFF"/>
            <w:gridSpan w:val="2"/>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6"/>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открытого конкурса поставка товара, оказание услуг, выполнение работ,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tc>
      </w:tr>
      <w:tr>
        <w:trPr>
          <w:trHeight w:val="518" w:hRule="exact"/>
        </w:trPr>
        <w:tc>
          <w:tcPr>
            <w:shd w:val="clear" w:color="auto" w:fill="FFFFFF"/>
            <w:gridSpan w:val="2"/>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15"/>
              </w:rPr>
              <w:t>Условие предоставления документа</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5"/>
              </w:rPr>
              <w:t>Наименование документа</w:t>
            </w:r>
          </w:p>
        </w:tc>
      </w:tr>
      <w:tr>
        <w:trPr>
          <w:trHeight w:val="2798" w:hRule="exact"/>
        </w:trPr>
        <w:tc>
          <w:tcPr>
            <w:shd w:val="clear" w:color="auto" w:fill="FFFFFF"/>
            <w:tcBorders>
              <w:left w:val="single" w:sz="4"/>
              <w:top w:val="single" w:sz="4"/>
              <w:bottom w:val="single" w:sz="4"/>
            </w:tcBorders>
            <w:vAlign w:val="top"/>
          </w:tcPr>
          <w:p>
            <w:pPr>
              <w:pStyle w:val="Style7"/>
              <w:framePr w:w="10330"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6"/>
              </w:rPr>
              <w:t>10</w:t>
            </w:r>
          </w:p>
        </w:tc>
        <w:tc>
          <w:tcPr>
            <w:shd w:val="clear" w:color="auto" w:fill="FFFFFF"/>
            <w:tcBorders>
              <w:left w:val="single" w:sz="4"/>
              <w:top w:val="single" w:sz="4"/>
              <w:bottom w:val="single" w:sz="4"/>
            </w:tcBorders>
            <w:vAlign w:val="top"/>
          </w:tcPr>
          <w:p>
            <w:pPr>
              <w:pStyle w:val="Style7"/>
              <w:framePr w:w="10330"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6"/>
              </w:rPr>
              <w:t>Если</w:t>
            </w:r>
          </w:p>
          <w:p>
            <w:pPr>
              <w:pStyle w:val="Style7"/>
              <w:framePr w:w="10330"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6"/>
              </w:rPr>
              <w:t xml:space="preserve">установлено </w:t>
            </w:r>
            <w:r>
              <w:rPr>
                <w:rStyle w:val="CharStyle15"/>
              </w:rPr>
              <w:t>позицией 15</w:t>
            </w:r>
          </w:p>
          <w:p>
            <w:pPr>
              <w:pStyle w:val="Style7"/>
              <w:framePr w:w="10330"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6"/>
              </w:rPr>
              <w:t>Раздела 1.</w:t>
            </w:r>
          </w:p>
        </w:tc>
        <w:tc>
          <w:tcPr>
            <w:shd w:val="clear" w:color="auto" w:fill="FFFFFF"/>
            <w:tcBorders>
              <w:left w:val="single" w:sz="4"/>
              <w:right w:val="single" w:sz="4"/>
              <w:top w:val="single" w:sz="4"/>
              <w:bottom w:val="single" w:sz="4"/>
            </w:tcBorders>
            <w:vAlign w:val="bottom"/>
          </w:tcPr>
          <w:p>
            <w:pPr>
              <w:pStyle w:val="Style7"/>
              <w:framePr w:w="10330"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6"/>
              </w:rPr>
              <w:t>- выписка из реестра членов саморегулируемой организации либо ее копия по форме, которая утверждена Приказом Ростехнадзора от 16.02.2017 №58 «Об утверждении формы выписки из реестра членов саморегулируемой организации»:</w:t>
            </w:r>
          </w:p>
          <w:p>
            <w:pPr>
              <w:pStyle w:val="Style7"/>
              <w:framePr w:w="10330"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6"/>
              </w:rPr>
              <w:t>Сведения о наличии у члена саморегулируемой организации права соответственно выполнять инженерные изыскания, осуществлять подготовку проектной документации по договору подряда на выполнение инженерных изысканий, подготовку проектной документации, заключаемым с использованием конкурентных способов заключения договоров. Выписка должна быть выдана не ранее чем за один месяц до даты окончания срока подачи заявок в конкурсе.</w:t>
            </w:r>
          </w:p>
        </w:tc>
      </w:tr>
    </w:tbl>
    <w:p>
      <w:pPr>
        <w:widowControl w:val="0"/>
        <w:rPr>
          <w:sz w:val="2"/>
          <w:szCs w:val="2"/>
        </w:rPr>
      </w:pPr>
    </w:p>
    <w:p>
      <w:pPr>
        <w:pStyle w:val="Style7"/>
        <w:widowControl w:val="0"/>
        <w:keepNext w:val="0"/>
        <w:keepLines w:val="0"/>
        <w:shd w:val="clear" w:color="auto" w:fill="auto"/>
        <w:bidi w:val="0"/>
        <w:jc w:val="both"/>
        <w:spacing w:before="54" w:after="0" w:line="260" w:lineRule="exact"/>
        <w:ind w:left="12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line="322" w:lineRule="exact"/>
        <w:ind w:left="120" w:right="20" w:firstLine="860"/>
      </w:pPr>
      <w:r>
        <w:rPr>
          <w:lang w:val="ru-RU" w:eastAsia="ru-RU" w:bidi="ru-RU"/>
          <w:w w:val="100"/>
          <w:spacing w:val="0"/>
          <w:color w:val="000000"/>
          <w:position w:val="0"/>
        </w:rPr>
        <w:t>На заседании Комиссии представитель Заказчика пояснил, что в составе заявки на участие в Конкурсе ИП Слободенюк Т. И. предоставил Выписку из реестра членов саморегулируемой организации от 16.10.2017 №1043, выданную Союзом проектных организаций «Стандарт-Проект», согласно которой ИП Слободенюк Т. И. имеет уровень ответственности по обязательствам по договорам подряда на выполнение инженерных изысканий, подготовку проектной документации, заключаемым с использованием конкурентных способов заключения договоров - «первый, не превышает 25,0 миллионов рублей».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заслушав пояснения представителя Заказчика, изучив Конкурсную документацию, заявки участников Конкурса, приходит к выводу, что действия Единой комиссии Заказчика не противоречат положениям статьи 53 Закона о контрактной системе.</w:t>
      </w:r>
    </w:p>
    <w:p>
      <w:pPr>
        <w:pStyle w:val="Style7"/>
        <w:widowControl w:val="0"/>
        <w:keepNext w:val="0"/>
        <w:keepLines w:val="0"/>
        <w:shd w:val="clear" w:color="auto" w:fill="auto"/>
        <w:bidi w:val="0"/>
        <w:jc w:val="both"/>
        <w:spacing w:before="0" w:after="60" w:line="322" w:lineRule="exact"/>
        <w:ind w:left="0" w:right="0" w:firstLine="86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widowControl w:val="0"/>
        <w:keepNext w:val="0"/>
        <w:keepLines w:val="0"/>
        <w:shd w:val="clear" w:color="auto" w:fill="auto"/>
        <w:bidi w:val="0"/>
        <w:jc w:val="both"/>
        <w:spacing w:before="0" w:after="109"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5"/>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5"/>
        </w:numPr>
        <w:widowControl w:val="0"/>
        <w:keepNext w:val="0"/>
        <w:keepLines w:val="0"/>
        <w:shd w:val="clear" w:color="auto" w:fill="auto"/>
        <w:bidi w:val="0"/>
        <w:jc w:val="both"/>
        <w:spacing w:before="0" w:after="184"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от 01.11.2017 №06/12462.</w:t>
      </w:r>
    </w:p>
    <w:p>
      <w:pPr>
        <w:pStyle w:val="Style7"/>
        <w:widowControl w:val="0"/>
        <w:keepNext w:val="0"/>
        <w:keepLines w:val="0"/>
        <w:shd w:val="clear" w:color="auto" w:fill="auto"/>
        <w:bidi w:val="0"/>
        <w:jc w:val="both"/>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30"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tabs>
          <w:tab w:leader="none" w:pos="7730"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О. А. Шалимова</w:t>
      </w:r>
    </w:p>
    <w:p>
      <w:pPr>
        <w:pStyle w:val="Style7"/>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Н. А. Баданин</w:t>
      </w:r>
    </w:p>
    <w:sectPr>
      <w:type w:val="continuous"/>
      <w:pgSz w:w="11906" w:h="16838"/>
      <w:pgMar w:top="1443" w:left="834" w:right="733" w:bottom="92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2">
    <w:name w:val="Основной текст"/>
    <w:basedOn w:val="CharStyle8"/>
    <w:rPr>
      <w:lang w:val="ru-RU" w:eastAsia="ru-RU" w:bidi="ru-RU"/>
      <w:w w:val="100"/>
      <w:spacing w:val="0"/>
      <w:color w:val="000000"/>
      <w:position w:val="0"/>
    </w:rPr>
  </w:style>
  <w:style w:type="character" w:customStyle="1" w:styleId="CharStyle14">
    <w:name w:val="Подпись к таблице_"/>
    <w:basedOn w:val="DefaultParagraphFont"/>
    <w:link w:val="Style13"/>
    <w:rPr>
      <w:b/>
      <w:bCs/>
      <w:i w:val="0"/>
      <w:iCs w:val="0"/>
      <w:u w:val="none"/>
      <w:strike w:val="0"/>
      <w:smallCaps w:val="0"/>
      <w:sz w:val="21"/>
      <w:szCs w:val="21"/>
      <w:rFonts w:ascii="Times New Roman" w:eastAsia="Times New Roman" w:hAnsi="Times New Roman" w:cs="Times New Roman"/>
    </w:rPr>
  </w:style>
  <w:style w:type="character" w:customStyle="1" w:styleId="CharStyle15">
    <w:name w:val="Основной текст + 10,5 pt,Полужирный"/>
    <w:basedOn w:val="CharStyle8"/>
    <w:rPr>
      <w:lang w:val="ru-RU" w:eastAsia="ru-RU" w:bidi="ru-RU"/>
      <w:b/>
      <w:bCs/>
      <w:sz w:val="21"/>
      <w:szCs w:val="21"/>
      <w:w w:val="100"/>
      <w:spacing w:val="0"/>
      <w:color w:val="000000"/>
      <w:position w:val="0"/>
    </w:rPr>
  </w:style>
  <w:style w:type="character" w:customStyle="1" w:styleId="CharStyle16">
    <w:name w:val="Основной текст + 10,5 pt"/>
    <w:basedOn w:val="CharStyle8"/>
    <w:rPr>
      <w:lang w:val="ru-RU" w:eastAsia="ru-RU" w:bidi="ru-RU"/>
      <w:sz w:val="21"/>
      <w:szCs w:val="21"/>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Подпись к таблице"/>
    <w:basedOn w:val="Normal"/>
    <w:link w:val="CharStyle14"/>
    <w:pPr>
      <w:widowControl w:val="0"/>
      <w:shd w:val="clear" w:color="auto" w:fill="FFFFFF"/>
      <w:spacing w:line="254" w:lineRule="exact"/>
      <w:ind w:hanging="1960"/>
    </w:pPr>
    <w:rPr>
      <w:b/>
      <w:bCs/>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