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917" w:h="3633" w:wrap="around" w:vAnchor="text" w:hAnchor="margin" w:x="-49" w:y="195"/>
        <w:widowControl w:val="0"/>
        <w:keepNext w:val="0"/>
        <w:keepLines w:val="0"/>
        <w:shd w:val="clear" w:color="auto" w:fill="auto"/>
        <w:bidi w:val="0"/>
        <w:spacing w:before="0" w:after="176"/>
        <w:ind w:left="20" w:right="0" w:firstLine="0"/>
      </w:pPr>
      <w:r>
        <w:rPr>
          <w:rStyle w:val="CharStyle4"/>
          <w:b/>
          <w:bCs/>
          <w:spacing w:val="0"/>
        </w:rPr>
        <w:t>ФЕДЕРАЛЬНАЯ АНТИМОНОПОЛЬНАЯ СЛУЖБА</w:t>
      </w:r>
    </w:p>
    <w:p>
      <w:pPr>
        <w:pStyle w:val="Style3"/>
        <w:framePr w:w="4917" w:h="3633" w:wrap="around" w:vAnchor="text" w:hAnchor="margin" w:x="-49" w:y="195"/>
        <w:widowControl w:val="0"/>
        <w:keepNext w:val="0"/>
        <w:keepLines w:val="0"/>
        <w:shd w:val="clear" w:color="auto" w:fill="auto"/>
        <w:bidi w:val="0"/>
        <w:spacing w:before="0" w:after="0" w:line="278" w:lineRule="exact"/>
        <w:ind w:left="20" w:right="0" w:firstLine="0"/>
      </w:pPr>
      <w:r>
        <w:rPr>
          <w:rStyle w:val="CharStyle4"/>
          <w:b/>
          <w:bCs/>
          <w:spacing w:val="0"/>
        </w:rPr>
        <w:t>УПРАВЛЕНИЕ Федеральной антимонопольной службы по Республике Крым и городу Севастополю</w:t>
      </w:r>
    </w:p>
    <w:p>
      <w:pPr>
        <w:pStyle w:val="Style5"/>
        <w:framePr w:w="4917" w:h="3633" w:wrap="around" w:vAnchor="text" w:hAnchor="margin" w:x="-49" w:y="19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4917" w:h="3633" w:wrap="around" w:vAnchor="text" w:hAnchor="margin" w:x="-49" w:y="195"/>
        <w:widowControl w:val="0"/>
        <w:keepNext w:val="0"/>
        <w:keepLines w:val="0"/>
        <w:shd w:val="clear" w:color="auto" w:fill="auto"/>
        <w:bidi w:val="0"/>
        <w:jc w:val="left"/>
        <w:spacing w:before="0" w:after="0" w:line="562" w:lineRule="exact"/>
        <w:ind w:left="20" w:right="2120" w:firstLine="0"/>
      </w:pPr>
      <w:r>
        <w:rPr>
          <w:rStyle w:val="CharStyle8"/>
          <w:spacing w:val="0"/>
        </w:rPr>
        <w:t>03.11.2017 №06/12606 На № 110 от 30.10.2017</w:t>
      </w:r>
    </w:p>
    <w:p>
      <w:pPr>
        <w:pStyle w:val="Style7"/>
        <w:numPr>
          <w:ilvl w:val="0"/>
          <w:numId w:val="1"/>
        </w:numPr>
        <w:widowControl w:val="0"/>
        <w:keepNext w:val="0"/>
        <w:keepLines w:val="0"/>
        <w:shd w:val="clear" w:color="auto" w:fill="auto"/>
        <w:bidi w:val="0"/>
        <w:jc w:val="left"/>
        <w:spacing w:before="0" w:after="0"/>
        <w:ind w:left="21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0" w:right="220" w:firstLine="0"/>
      </w:pPr>
      <w:r>
        <w:rPr>
          <w:lang w:val="ru-RU" w:eastAsia="ru-RU" w:bidi="ru-RU"/>
          <w:w w:val="100"/>
          <w:spacing w:val="0"/>
          <w:color w:val="000000"/>
          <w:position w:val="0"/>
        </w:rPr>
        <w:t>Государственное бюджетное учреждение здравоохранения Республики Крым «Советская районная больница»</w:t>
      </w:r>
    </w:p>
    <w:p>
      <w:pPr>
        <w:pStyle w:val="Style7"/>
        <w:widowControl w:val="0"/>
        <w:keepNext w:val="0"/>
        <w:keepLines w:val="0"/>
        <w:shd w:val="clear" w:color="auto" w:fill="auto"/>
        <w:bidi w:val="0"/>
        <w:jc w:val="left"/>
        <w:spacing w:before="0" w:after="240"/>
        <w:ind w:left="0" w:right="220" w:firstLine="0"/>
      </w:pPr>
      <w:r>
        <w:rPr>
          <w:lang w:val="ru-RU" w:eastAsia="ru-RU" w:bidi="ru-RU"/>
          <w:w w:val="100"/>
          <w:spacing w:val="0"/>
          <w:color w:val="000000"/>
          <w:position w:val="0"/>
        </w:rPr>
        <w:t>297200, Республика Крым, Советский р-н, пгт. Советский, пер. Больничный, ДОМ 3</w:t>
      </w:r>
    </w:p>
    <w:p>
      <w:pPr>
        <w:pStyle w:val="Style7"/>
        <w:numPr>
          <w:ilvl w:val="0"/>
          <w:numId w:val="1"/>
        </w:numPr>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240"/>
        <w:ind w:left="0" w:right="220" w:firstLine="0"/>
      </w:pPr>
      <w:r>
        <w:rPr>
          <w:lang w:val="ru-RU" w:eastAsia="ru-RU" w:bidi="ru-RU"/>
          <w:w w:val="100"/>
          <w:spacing w:val="0"/>
          <w:color w:val="000000"/>
          <w:position w:val="0"/>
        </w:rPr>
        <w:t>Комитет конкурентной политики Республики Крым 295034, Республика Крым, г. Симферополь, пр. Кирова, 13</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244"/>
        <w:ind w:left="4980" w:right="220" w:firstLine="0"/>
      </w:pPr>
      <w:r>
        <w:rPr>
          <w:lang w:val="ru-RU" w:eastAsia="ru-RU" w:bidi="ru-RU"/>
          <w:w w:val="100"/>
          <w:spacing w:val="0"/>
          <w:color w:val="000000"/>
          <w:position w:val="0"/>
        </w:rPr>
        <w:t>Общество с ограниченной ответственностью «Стройсервискрым» 297200, Республика Крым, Советский р-н, пгт. Советский, ул. 50 лет СССР, д. 2</w:t>
      </w:r>
    </w:p>
    <w:p>
      <w:pPr>
        <w:pStyle w:val="Style7"/>
        <w:numPr>
          <w:ilvl w:val="0"/>
          <w:numId w:val="1"/>
        </w:numPr>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17" w:lineRule="exact"/>
        <w:ind w:left="4980" w:right="220" w:firstLine="0"/>
      </w:pPr>
      <w:r>
        <w:rPr>
          <w:lang w:val="ru-RU" w:eastAsia="ru-RU" w:bidi="ru-RU"/>
          <w:w w:val="100"/>
          <w:spacing w:val="0"/>
          <w:color w:val="000000"/>
          <w:position w:val="0"/>
        </w:rPr>
        <w:t>АО «Единая Электронная Торговая Площадка»</w:t>
      </w:r>
    </w:p>
    <w:p>
      <w:pPr>
        <w:pStyle w:val="Style7"/>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115114, г. Москва,</w:t>
      </w:r>
    </w:p>
    <w:p>
      <w:pPr>
        <w:pStyle w:val="Style7"/>
        <w:widowControl w:val="0"/>
        <w:keepNext w:val="0"/>
        <w:keepLines w:val="0"/>
        <w:shd w:val="clear" w:color="auto" w:fill="auto"/>
        <w:bidi w:val="0"/>
        <w:jc w:val="left"/>
        <w:spacing w:before="0" w:after="236" w:line="317" w:lineRule="exact"/>
        <w:ind w:left="4980" w:right="0" w:firstLine="0"/>
      </w:pPr>
      <w:r>
        <w:rPr>
          <w:lang w:val="ru-RU" w:eastAsia="ru-RU" w:bidi="ru-RU"/>
          <w:w w:val="100"/>
          <w:spacing w:val="0"/>
          <w:color w:val="000000"/>
          <w:position w:val="0"/>
        </w:rPr>
        <w:t>ул. Кожевническая, д. 14, стр. 5</w:t>
      </w:r>
    </w:p>
    <w:p>
      <w:pPr>
        <w:pStyle w:val="Style10"/>
        <w:widowControl w:val="0"/>
        <w:keepNext w:val="0"/>
        <w:keepLines w:val="0"/>
        <w:shd w:val="clear" w:color="auto" w:fill="auto"/>
        <w:bidi w:val="0"/>
        <w:spacing w:before="0" w:after="109"/>
        <w:ind w:left="60" w:right="0" w:firstLine="0"/>
      </w:pPr>
      <w:r>
        <w:rPr>
          <w:lang w:val="ru-RU" w:eastAsia="ru-RU" w:bidi="ru-RU"/>
          <w:w w:val="100"/>
          <w:spacing w:val="0"/>
          <w:color w:val="000000"/>
          <w:position w:val="0"/>
        </w:rPr>
        <w:t>Решение по делу №06/4153-17 о нарушении законодательства Российской Федерации о контрактной системе в сфере закупок</w:t>
      </w:r>
    </w:p>
    <w:p>
      <w:pPr>
        <w:pStyle w:val="Style7"/>
        <w:numPr>
          <w:ilvl w:val="0"/>
          <w:numId w:val="3"/>
        </w:numPr>
        <w:tabs>
          <w:tab w:leader="none" w:pos="8046" w:val="left"/>
          <w:tab w:leader="none" w:pos="8066" w:val="left"/>
        </w:tabs>
        <w:widowControl w:val="0"/>
        <w:keepNext w:val="0"/>
        <w:keepLines w:val="0"/>
        <w:shd w:val="clear" w:color="auto" w:fill="auto"/>
        <w:bidi w:val="0"/>
        <w:jc w:val="both"/>
        <w:spacing w:before="0" w:after="133" w:line="260" w:lineRule="exact"/>
        <w:ind w:left="2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Уполномоченного органа И. В. Хованского (по доверенности),</w:t>
      </w:r>
      <w:r>
        <w:br w:type="page"/>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Заявителя С. В. Грязнова (по доверенности),</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представители Заказчика на заседание Комиссии не явились, —</w:t>
      </w:r>
    </w:p>
    <w:p>
      <w:pPr>
        <w:pStyle w:val="Style7"/>
        <w:tabs>
          <w:tab w:leader="none" w:pos="10186" w:val="righ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рассмотрев жалобу Заявителя от 30.10.2017 № 110 (вх. №4141/09 от 31.10.2017) на действия Единой комиссии Уполномоченного органа при проведении электронного аукциона «Выполнение строительно-монтажных работ на объекте: " Капитальный ремонт АОПСМ по адресу: Республика Крым, Советский район, с. Раздольное, ул. Ароматная, 46".» (номер извещения 0175200000417000453)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109"/>
        <w:ind w:left="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6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Аукциона.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принявшей по результатам рассмотрения вторых частей заявок на участие в Аукционе неправомерное решение о несоответствии заявки Заявителя требованиям, установленным в документации об Аукционе.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01.11.2017 №06/12460,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системы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5"/>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извещение о проведении закупки размещено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 — 29.09.2017;</w:t>
      </w:r>
    </w:p>
    <w:p>
      <w:pPr>
        <w:pStyle w:val="Style7"/>
        <w:numPr>
          <w:ilvl w:val="0"/>
          <w:numId w:val="5"/>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5"/>
        </w:numPr>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 xml:space="preserve"> начальная (максимальная) цена контракта - 14 568 922,68рублей;</w:t>
      </w:r>
    </w:p>
    <w:p>
      <w:pPr>
        <w:pStyle w:val="Style7"/>
        <w:numPr>
          <w:ilvl w:val="0"/>
          <w:numId w:val="5"/>
        </w:numPr>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 xml:space="preserve"> дата и время окончания подачи заявок: 18.10.2017 08:00, дата окончания срока рассмотрения первых частей заявок участников: 23.10.2017, дата проведения Аукциона: 26.10.2017;</w:t>
      </w:r>
    </w:p>
    <w:p>
      <w:pPr>
        <w:pStyle w:val="Style7"/>
        <w:numPr>
          <w:ilvl w:val="0"/>
          <w:numId w:val="5"/>
        </w:numPr>
        <w:widowControl w:val="0"/>
        <w:keepNext w:val="0"/>
        <w:keepLines w:val="0"/>
        <w:shd w:val="clear" w:color="auto" w:fill="auto"/>
        <w:bidi w:val="0"/>
        <w:jc w:val="both"/>
        <w:spacing w:before="0" w:after="0"/>
        <w:ind w:left="20" w:right="80" w:firstLine="860"/>
      </w:pPr>
      <w:r>
        <w:rPr>
          <w:lang w:val="ru-RU" w:eastAsia="ru-RU" w:bidi="ru-RU"/>
          <w:w w:val="100"/>
          <w:spacing w:val="0"/>
          <w:color w:val="000000"/>
          <w:position w:val="0"/>
        </w:rPr>
        <w:t xml:space="preserve"> на участие в Аукционе подано 2 заявки, из них по результатам рассмотрения первых частей заявок все заявки допущены к участию в Аукционе;</w:t>
      </w:r>
    </w:p>
    <w:p>
      <w:pPr>
        <w:pStyle w:val="Style7"/>
        <w:numPr>
          <w:ilvl w:val="0"/>
          <w:numId w:val="5"/>
        </w:numPr>
        <w:widowControl w:val="0"/>
        <w:keepNext w:val="0"/>
        <w:keepLines w:val="0"/>
        <w:shd w:val="clear" w:color="auto" w:fill="auto"/>
        <w:bidi w:val="0"/>
        <w:jc w:val="both"/>
        <w:spacing w:before="0" w:after="180"/>
        <w:ind w:left="20" w:right="80" w:firstLine="860"/>
      </w:pPr>
      <w:r>
        <w:rPr>
          <w:lang w:val="ru-RU" w:eastAsia="ru-RU" w:bidi="ru-RU"/>
          <w:w w:val="100"/>
          <w:spacing w:val="0"/>
          <w:color w:val="000000"/>
          <w:position w:val="0"/>
        </w:rPr>
        <w:t xml:space="preserve"> при проведении Аукциона предложения о цене контракта подавали 2 участника, снижение от начальной (максимальной) цены контракта составило 1,5%.</w:t>
      </w:r>
    </w:p>
    <w:p>
      <w:pPr>
        <w:pStyle w:val="Style7"/>
        <w:widowControl w:val="0"/>
        <w:keepNext w:val="0"/>
        <w:keepLines w:val="0"/>
        <w:shd w:val="clear" w:color="auto" w:fill="auto"/>
        <w:bidi w:val="0"/>
        <w:jc w:val="both"/>
        <w:spacing w:before="0" w:after="0"/>
        <w:ind w:left="20" w:right="80" w:firstLine="860"/>
      </w:pPr>
      <w:r>
        <w:rPr>
          <w:lang w:val="ru-RU" w:eastAsia="ru-RU" w:bidi="ru-RU"/>
          <w:w w:val="100"/>
          <w:spacing w:val="0"/>
          <w:color w:val="000000"/>
          <w:position w:val="0"/>
        </w:rPr>
        <w:t>В качестве довода жалобы Заявитель указывает на то, что Единая комиссия Уполномоченного органа по результатам рассмотрения вторых частей заявок участников Аукциона приняла неправомерное решение о несоответствии заявки Заявителя требованиям, установленным в документации об Аукционе.</w:t>
      </w:r>
    </w:p>
    <w:p>
      <w:pPr>
        <w:pStyle w:val="Style7"/>
        <w:widowControl w:val="0"/>
        <w:keepNext w:val="0"/>
        <w:keepLines w:val="0"/>
        <w:shd w:val="clear" w:color="auto" w:fill="auto"/>
        <w:bidi w:val="0"/>
        <w:jc w:val="both"/>
        <w:spacing w:before="0" w:after="0"/>
        <w:ind w:left="20" w:right="80" w:firstLine="860"/>
      </w:pPr>
      <w:r>
        <w:rPr>
          <w:lang w:val="ru-RU" w:eastAsia="ru-RU" w:bidi="ru-RU"/>
          <w:w w:val="100"/>
          <w:spacing w:val="0"/>
          <w:color w:val="000000"/>
          <w:position w:val="0"/>
        </w:rPr>
        <w:t>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pPr>
        <w:pStyle w:val="Style7"/>
        <w:widowControl w:val="0"/>
        <w:keepNext w:val="0"/>
        <w:keepLines w:val="0"/>
        <w:shd w:val="clear" w:color="auto" w:fill="auto"/>
        <w:bidi w:val="0"/>
        <w:jc w:val="both"/>
        <w:spacing w:before="0" w:after="0"/>
        <w:ind w:left="20" w:right="80" w:firstLine="860"/>
      </w:pPr>
      <w:r>
        <w:rPr>
          <w:lang w:val="ru-RU" w:eastAsia="ru-RU" w:bidi="ru-RU"/>
          <w:w w:val="100"/>
          <w:spacing w:val="0"/>
          <w:color w:val="000000"/>
          <w:position w:val="0"/>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7"/>
        <w:numPr>
          <w:ilvl w:val="0"/>
          <w:numId w:val="7"/>
        </w:numPr>
        <w:widowControl w:val="0"/>
        <w:keepNext w:val="0"/>
        <w:keepLines w:val="0"/>
        <w:shd w:val="clear" w:color="auto" w:fill="auto"/>
        <w:bidi w:val="0"/>
        <w:jc w:val="both"/>
        <w:spacing w:before="0" w:after="0"/>
        <w:ind w:left="20" w:right="80" w:firstLine="860"/>
      </w:pPr>
      <w:r>
        <w:rPr>
          <w:lang w:val="ru-RU" w:eastAsia="ru-RU" w:bidi="ru-RU"/>
          <w:w w:val="100"/>
          <w:spacing w:val="0"/>
          <w:color w:val="000000"/>
          <w:position w:val="0"/>
        </w:rPr>
        <w:t xml:space="preserve"> непредставления документов и информации, которые предусмотрены пунктами 1, 3 - 5, 7 и 8 части 2 статьи 62, частями 3 и 5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7"/>
        <w:numPr>
          <w:ilvl w:val="0"/>
          <w:numId w:val="7"/>
        </w:numPr>
        <w:widowControl w:val="0"/>
        <w:keepNext w:val="0"/>
        <w:keepLines w:val="0"/>
        <w:shd w:val="clear" w:color="auto" w:fill="auto"/>
        <w:bidi w:val="0"/>
        <w:jc w:val="both"/>
        <w:spacing w:before="0" w:after="0"/>
        <w:ind w:left="20" w:right="80" w:firstLine="86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pPr>
        <w:pStyle w:val="Style7"/>
        <w:widowControl w:val="0"/>
        <w:keepNext w:val="0"/>
        <w:keepLines w:val="0"/>
        <w:shd w:val="clear" w:color="auto" w:fill="auto"/>
        <w:bidi w:val="0"/>
        <w:jc w:val="both"/>
        <w:spacing w:before="0" w:after="0"/>
        <w:ind w:left="20" w:right="80" w:firstLine="860"/>
      </w:pPr>
      <w:r>
        <w:rPr>
          <w:lang w:val="ru-RU" w:eastAsia="ru-RU" w:bidi="ru-RU"/>
          <w:w w:val="100"/>
          <w:spacing w:val="0"/>
          <w:color w:val="000000"/>
          <w:position w:val="0"/>
        </w:rPr>
        <w:t>Согласно части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Закона о контрактной системе, не допускается.</w:t>
      </w:r>
    </w:p>
    <w:p>
      <w:pPr>
        <w:pStyle w:val="Style7"/>
        <w:tabs>
          <w:tab w:leader="underscore" w:pos="11114" w:val="lef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соответствии с протоколом подведения итогов электронного аукциона от</w:t>
      </w:r>
    </w:p>
    <w:p>
      <w:pPr>
        <w:pStyle w:val="Style7"/>
        <w:numPr>
          <w:ilvl w:val="0"/>
          <w:numId w:val="9"/>
        </w:numPr>
        <w:tabs>
          <w:tab w:leader="underscore" w:pos="10254" w:val="left"/>
          <w:tab w:leader="none" w:pos="1518" w:val="left"/>
        </w:tabs>
        <w:widowControl w:val="0"/>
        <w:keepNext w:val="0"/>
        <w:keepLines w:val="0"/>
        <w:shd w:val="clear" w:color="auto" w:fill="auto"/>
        <w:bidi w:val="0"/>
        <w:jc w:val="both"/>
        <w:spacing w:before="0" w:after="0"/>
        <w:ind w:left="20" w:right="80" w:firstLine="0"/>
      </w:pPr>
      <w:r>
        <w:rPr>
          <w:lang w:val="ru-RU" w:eastAsia="ru-RU" w:bidi="ru-RU"/>
          <w:w w:val="100"/>
          <w:spacing w:val="0"/>
          <w:color w:val="000000"/>
          <w:position w:val="0"/>
        </w:rPr>
        <w:t xml:space="preserve">№ 0175200000417000453-3 (далее - Протокол) Единая комиссия Уполномоченного органа признала вторую часть заявки участника закупки с порядковым номером «2» (Заявитель) не соответствующей требованиям </w:t>
      </w:r>
      <w:r>
        <w:rPr>
          <w:rStyle w:val="CharStyle14"/>
        </w:rPr>
        <w:t>документации об Аукционе по причине: «...</w:t>
      </w:r>
      <w:r>
        <w:rPr>
          <w:lang w:val="ru-RU" w:eastAsia="ru-RU" w:bidi="ru-RU"/>
          <w:w w:val="100"/>
          <w:spacing w:val="0"/>
          <w:color w:val="000000"/>
          <w:position w:val="0"/>
        </w:rPr>
        <w:tab/>
      </w:r>
    </w:p>
    <w:tbl>
      <w:tblPr>
        <w:tblOverlap w:val="never"/>
        <w:tblLayout w:type="fixed"/>
        <w:jc w:val="center"/>
      </w:tblPr>
      <w:tblGrid>
        <w:gridCol w:w="4334"/>
        <w:gridCol w:w="5909"/>
      </w:tblGrid>
      <w:tr>
        <w:trPr>
          <w:trHeight w:val="293" w:hRule="exact"/>
        </w:trPr>
        <w:tc>
          <w:tcPr>
            <w:shd w:val="clear" w:color="auto" w:fill="FFFFFF"/>
            <w:tcBorders>
              <w:left w:val="single" w:sz="4"/>
              <w:top w:val="single" w:sz="4"/>
            </w:tcBorders>
            <w:vAlign w:val="bottom"/>
          </w:tcPr>
          <w:p>
            <w:pPr>
              <w:pStyle w:val="Style7"/>
              <w:framePr w:w="10243" w:wrap="notBeside" w:vAnchor="text" w:hAnchor="text" w:xAlign="center" w:y="1"/>
              <w:widowControl w:val="0"/>
              <w:keepNext w:val="0"/>
              <w:keepLines w:val="0"/>
              <w:shd w:val="clear" w:color="auto" w:fill="auto"/>
              <w:bidi w:val="0"/>
              <w:jc w:val="left"/>
              <w:spacing w:before="0" w:after="0" w:line="220" w:lineRule="exact"/>
              <w:ind w:left="20" w:right="0" w:firstLine="0"/>
            </w:pPr>
            <w:r>
              <w:rPr>
                <w:rStyle w:val="CharStyle15"/>
              </w:rPr>
              <w:t>№ по ранжированию</w:t>
            </w:r>
          </w:p>
        </w:tc>
        <w:tc>
          <w:tcPr>
            <w:shd w:val="clear" w:color="auto" w:fill="FFFFFF"/>
            <w:tcBorders>
              <w:left w:val="single" w:sz="4"/>
              <w:right w:val="single" w:sz="4"/>
              <w:top w:val="single" w:sz="4"/>
            </w:tcBorders>
            <w:vAlign w:val="bottom"/>
          </w:tcPr>
          <w:p>
            <w:pPr>
              <w:pStyle w:val="Style7"/>
              <w:framePr w:w="10243" w:wrap="notBeside" w:vAnchor="text" w:hAnchor="text" w:xAlign="center" w:y="1"/>
              <w:widowControl w:val="0"/>
              <w:keepNext w:val="0"/>
              <w:keepLines w:val="0"/>
              <w:shd w:val="clear" w:color="auto" w:fill="auto"/>
              <w:bidi w:val="0"/>
              <w:jc w:val="left"/>
              <w:spacing w:before="0" w:after="0" w:line="220" w:lineRule="exact"/>
              <w:ind w:left="20" w:right="0" w:firstLine="0"/>
            </w:pPr>
            <w:r>
              <w:rPr>
                <w:rStyle w:val="CharStyle15"/>
              </w:rPr>
              <w:t>1</w:t>
            </w:r>
          </w:p>
        </w:tc>
      </w:tr>
      <w:tr>
        <w:trPr>
          <w:trHeight w:val="283" w:hRule="exact"/>
        </w:trPr>
        <w:tc>
          <w:tcPr>
            <w:shd w:val="clear" w:color="auto" w:fill="FFFFFF"/>
            <w:tcBorders>
              <w:left w:val="single" w:sz="4"/>
              <w:top w:val="single" w:sz="4"/>
            </w:tcBorders>
            <w:vAlign w:val="bottom"/>
          </w:tcPr>
          <w:p>
            <w:pPr>
              <w:pStyle w:val="Style7"/>
              <w:framePr w:w="10243" w:wrap="notBeside" w:vAnchor="text" w:hAnchor="text" w:xAlign="center" w:y="1"/>
              <w:widowControl w:val="0"/>
              <w:keepNext w:val="0"/>
              <w:keepLines w:val="0"/>
              <w:shd w:val="clear" w:color="auto" w:fill="auto"/>
              <w:bidi w:val="0"/>
              <w:jc w:val="left"/>
              <w:spacing w:before="0" w:after="0" w:line="220" w:lineRule="exact"/>
              <w:ind w:left="20" w:right="0" w:firstLine="0"/>
            </w:pPr>
            <w:r>
              <w:rPr>
                <w:rStyle w:val="CharStyle15"/>
              </w:rPr>
              <w:t>Порядковый номер заявки</w:t>
            </w:r>
          </w:p>
        </w:tc>
        <w:tc>
          <w:tcPr>
            <w:shd w:val="clear" w:color="auto" w:fill="FFFFFF"/>
            <w:tcBorders>
              <w:left w:val="single" w:sz="4"/>
              <w:right w:val="single" w:sz="4"/>
              <w:top w:val="single" w:sz="4"/>
            </w:tcBorders>
            <w:vAlign w:val="bottom"/>
          </w:tcPr>
          <w:p>
            <w:pPr>
              <w:pStyle w:val="Style7"/>
              <w:framePr w:w="10243" w:wrap="notBeside" w:vAnchor="text" w:hAnchor="text" w:xAlign="center" w:y="1"/>
              <w:widowControl w:val="0"/>
              <w:keepNext w:val="0"/>
              <w:keepLines w:val="0"/>
              <w:shd w:val="clear" w:color="auto" w:fill="auto"/>
              <w:bidi w:val="0"/>
              <w:jc w:val="left"/>
              <w:spacing w:before="0" w:after="0" w:line="220" w:lineRule="exact"/>
              <w:ind w:left="20" w:right="0" w:firstLine="0"/>
            </w:pPr>
            <w:r>
              <w:rPr>
                <w:rStyle w:val="CharStyle16"/>
              </w:rPr>
              <w:t xml:space="preserve">Заявка № </w:t>
            </w:r>
            <w:r>
              <w:rPr>
                <w:rStyle w:val="CharStyle15"/>
              </w:rPr>
              <w:t>2</w:t>
            </w:r>
          </w:p>
        </w:tc>
      </w:tr>
      <w:tr>
        <w:trPr>
          <w:trHeight w:val="288" w:hRule="exact"/>
        </w:trPr>
        <w:tc>
          <w:tcPr>
            <w:shd w:val="clear" w:color="auto" w:fill="FFFFFF"/>
            <w:tcBorders>
              <w:left w:val="single" w:sz="4"/>
              <w:top w:val="single" w:sz="4"/>
            </w:tcBorders>
            <w:vAlign w:val="bottom"/>
          </w:tcPr>
          <w:p>
            <w:pPr>
              <w:pStyle w:val="Style7"/>
              <w:framePr w:w="10243" w:wrap="notBeside" w:vAnchor="text" w:hAnchor="text" w:xAlign="center" w:y="1"/>
              <w:widowControl w:val="0"/>
              <w:keepNext w:val="0"/>
              <w:keepLines w:val="0"/>
              <w:shd w:val="clear" w:color="auto" w:fill="auto"/>
              <w:bidi w:val="0"/>
              <w:jc w:val="left"/>
              <w:spacing w:before="0" w:after="0" w:line="220" w:lineRule="exact"/>
              <w:ind w:left="20" w:right="0" w:firstLine="0"/>
            </w:pPr>
            <w:r>
              <w:rPr>
                <w:rStyle w:val="CharStyle15"/>
              </w:rPr>
              <w:t>Решение</w:t>
            </w:r>
          </w:p>
        </w:tc>
        <w:tc>
          <w:tcPr>
            <w:shd w:val="clear" w:color="auto" w:fill="FFFFFF"/>
            <w:tcBorders>
              <w:left w:val="single" w:sz="4"/>
              <w:right w:val="single" w:sz="4"/>
              <w:top w:val="single" w:sz="4"/>
            </w:tcBorders>
            <w:vAlign w:val="bottom"/>
          </w:tcPr>
          <w:p>
            <w:pPr>
              <w:pStyle w:val="Style7"/>
              <w:framePr w:w="10243" w:wrap="notBeside" w:vAnchor="text" w:hAnchor="text" w:xAlign="center" w:y="1"/>
              <w:widowControl w:val="0"/>
              <w:keepNext w:val="0"/>
              <w:keepLines w:val="0"/>
              <w:shd w:val="clear" w:color="auto" w:fill="auto"/>
              <w:bidi w:val="0"/>
              <w:jc w:val="left"/>
              <w:spacing w:before="0" w:after="0" w:line="220" w:lineRule="exact"/>
              <w:ind w:left="20" w:right="0" w:firstLine="0"/>
            </w:pPr>
            <w:r>
              <w:rPr>
                <w:rStyle w:val="CharStyle16"/>
              </w:rPr>
              <w:t>Не соответствует</w:t>
            </w:r>
          </w:p>
        </w:tc>
      </w:tr>
      <w:tr>
        <w:trPr>
          <w:trHeight w:val="283" w:hRule="exact"/>
        </w:trPr>
        <w:tc>
          <w:tcPr>
            <w:shd w:val="clear" w:color="auto" w:fill="FFFFFF"/>
            <w:tcBorders>
              <w:left w:val="single" w:sz="4"/>
              <w:top w:val="single" w:sz="4"/>
            </w:tcBorders>
            <w:vAlign w:val="bottom"/>
          </w:tcPr>
          <w:p>
            <w:pPr>
              <w:pStyle w:val="Style7"/>
              <w:framePr w:w="10243" w:wrap="notBeside" w:vAnchor="text" w:hAnchor="text" w:xAlign="center" w:y="1"/>
              <w:widowControl w:val="0"/>
              <w:keepNext w:val="0"/>
              <w:keepLines w:val="0"/>
              <w:shd w:val="clear" w:color="auto" w:fill="auto"/>
              <w:bidi w:val="0"/>
              <w:jc w:val="left"/>
              <w:spacing w:before="0" w:after="0" w:line="220" w:lineRule="exact"/>
              <w:ind w:left="20" w:right="0" w:firstLine="0"/>
            </w:pPr>
            <w:r>
              <w:rPr>
                <w:rStyle w:val="CharStyle15"/>
              </w:rPr>
              <w:t>Обоснование принятого решения</w:t>
            </w:r>
          </w:p>
        </w:tc>
        <w:tc>
          <w:tcPr>
            <w:shd w:val="clear" w:color="auto" w:fill="FFFFFF"/>
            <w:tcBorders>
              <w:right w:val="single" w:sz="4"/>
              <w:top w:val="single" w:sz="4"/>
            </w:tcBorders>
            <w:vAlign w:val="top"/>
          </w:tcPr>
          <w:p>
            <w:pPr>
              <w:framePr w:w="10243" w:wrap="notBeside" w:vAnchor="text" w:hAnchor="text" w:xAlign="center" w:y="1"/>
              <w:widowControl w:val="0"/>
              <w:rPr>
                <w:sz w:val="10"/>
                <w:szCs w:val="10"/>
              </w:rPr>
            </w:pPr>
          </w:p>
        </w:tc>
      </w:tr>
      <w:tr>
        <w:trPr>
          <w:trHeight w:val="298" w:hRule="exact"/>
        </w:trPr>
        <w:tc>
          <w:tcPr>
            <w:shd w:val="clear" w:color="auto" w:fill="FFFFFF"/>
            <w:gridSpan w:val="2"/>
            <w:tcBorders>
              <w:left w:val="single" w:sz="4"/>
              <w:right w:val="single" w:sz="4"/>
              <w:top w:val="single" w:sz="4"/>
              <w:bottom w:val="single" w:sz="4"/>
            </w:tcBorders>
            <w:vAlign w:val="bottom"/>
          </w:tcPr>
          <w:p>
            <w:pPr>
              <w:pStyle w:val="Style7"/>
              <w:framePr w:w="10243" w:wrap="notBeside" w:vAnchor="text" w:hAnchor="text" w:xAlign="center" w:y="1"/>
              <w:widowControl w:val="0"/>
              <w:keepNext w:val="0"/>
              <w:keepLines w:val="0"/>
              <w:shd w:val="clear" w:color="auto" w:fill="auto"/>
              <w:bidi w:val="0"/>
              <w:jc w:val="right"/>
              <w:spacing w:before="0" w:after="0" w:line="220" w:lineRule="exact"/>
              <w:ind w:left="0" w:right="40" w:firstLine="0"/>
            </w:pPr>
            <w:r>
              <w:rPr>
                <w:rStyle w:val="CharStyle16"/>
              </w:rPr>
              <w:t>В соответствии с п. 1 ч.6 ст. 69 Закона №44-ФЗ, непредставления документов и информации,</w:t>
            </w:r>
          </w:p>
        </w:tc>
      </w:tr>
    </w:tbl>
    <w:p>
      <w:pPr>
        <w:widowControl w:val="0"/>
        <w:rPr>
          <w:sz w:val="2"/>
          <w:szCs w:val="2"/>
        </w:rPr>
      </w:pPr>
    </w:p>
    <w:p>
      <w:pPr>
        <w:pStyle w:val="Style17"/>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40" w:right="40" w:firstLine="0"/>
      </w:pPr>
      <w:r>
        <w:rPr>
          <w:lang w:val="ru-RU" w:eastAsia="ru-RU" w:bidi="ru-RU"/>
          <w:w w:val="100"/>
          <w:spacing w:val="0"/>
          <w:color w:val="000000"/>
          <w:position w:val="0"/>
        </w:rPr>
        <w:t>которые предусмотрены</w:t>
      </w:r>
      <w:r>
        <w:rPr>
          <w:lang w:val="ru-RU" w:eastAsia="ru-RU" w:bidi="ru-RU"/>
          <w:w w:val="100"/>
          <w:spacing w:val="0"/>
          <w:color w:val="000000"/>
          <w:position w:val="0"/>
        </w:rPr>
        <w:t xml:space="preserve"> </w:t>
      </w:r>
      <w:r>
        <w:rPr>
          <w:rStyle w:val="CharStyle19"/>
        </w:rPr>
        <w:t>п. 1</w:t>
      </w:r>
      <w:r>
        <w:rPr>
          <w:rStyle w:val="CharStyle20"/>
        </w:rPr>
        <w:t>,</w:t>
      </w:r>
      <w:r>
        <w:rPr>
          <w:lang w:val="ru-RU" w:eastAsia="ru-RU" w:bidi="ru-RU"/>
          <w:w w:val="100"/>
          <w:spacing w:val="0"/>
          <w:color w:val="000000"/>
          <w:position w:val="0"/>
        </w:rPr>
        <w:t xml:space="preserve"> </w:t>
      </w:r>
      <w:r>
        <w:rPr>
          <w:rStyle w:val="CharStyle21"/>
        </w:rPr>
        <w:t xml:space="preserve">3 </w:t>
      </w:r>
      <w:r>
        <w:rPr>
          <w:lang w:val="ru-RU" w:eastAsia="ru-RU" w:bidi="ru-RU"/>
          <w:w w:val="100"/>
          <w:spacing w:val="0"/>
          <w:color w:val="000000"/>
          <w:position w:val="0"/>
        </w:rPr>
        <w:t>-</w:t>
      </w:r>
      <w:r>
        <w:rPr>
          <w:lang w:val="ru-RU" w:eastAsia="ru-RU" w:bidi="ru-RU"/>
          <w:w w:val="100"/>
          <w:spacing w:val="0"/>
          <w:color w:val="000000"/>
          <w:position w:val="0"/>
        </w:rPr>
        <w:t xml:space="preserve"> </w:t>
      </w:r>
      <w:r>
        <w:rPr>
          <w:rStyle w:val="CharStyle21"/>
        </w:rPr>
        <w:t>5</w:t>
      </w:r>
      <w:r>
        <w:rPr>
          <w:lang w:val="ru-RU" w:eastAsia="ru-RU" w:bidi="ru-RU"/>
          <w:w w:val="100"/>
          <w:spacing w:val="0"/>
          <w:color w:val="000000"/>
          <w:position w:val="0"/>
        </w:rPr>
        <w:t>,</w:t>
      </w:r>
      <w:r>
        <w:rPr>
          <w:lang w:val="ru-RU" w:eastAsia="ru-RU" w:bidi="ru-RU"/>
          <w:w w:val="100"/>
          <w:spacing w:val="0"/>
          <w:color w:val="000000"/>
          <w:position w:val="0"/>
        </w:rPr>
        <w:t xml:space="preserve"> </w:t>
      </w:r>
      <w:r>
        <w:rPr>
          <w:rStyle w:val="CharStyle21"/>
        </w:rPr>
        <w:t xml:space="preserve">7 </w:t>
      </w:r>
      <w:r>
        <w:rPr>
          <w:lang w:val="ru-RU" w:eastAsia="ru-RU" w:bidi="ru-RU"/>
          <w:w w:val="100"/>
          <w:spacing w:val="0"/>
          <w:color w:val="000000"/>
          <w:position w:val="0"/>
        </w:rPr>
        <w:t>и</w:t>
      </w:r>
      <w:r>
        <w:rPr>
          <w:lang w:val="ru-RU" w:eastAsia="ru-RU" w:bidi="ru-RU"/>
          <w:w w:val="100"/>
          <w:spacing w:val="0"/>
          <w:color w:val="000000"/>
          <w:position w:val="0"/>
        </w:rPr>
        <w:t xml:space="preserve"> </w:t>
      </w:r>
      <w:r>
        <w:rPr>
          <w:rStyle w:val="CharStyle19"/>
        </w:rPr>
        <w:t>8 ч. 2 ст. 62</w:t>
      </w:r>
      <w:r>
        <w:rPr>
          <w:lang w:val="ru-RU" w:eastAsia="ru-RU" w:bidi="ru-RU"/>
          <w:w w:val="100"/>
          <w:spacing w:val="0"/>
          <w:color w:val="000000"/>
          <w:position w:val="0"/>
        </w:rPr>
        <w:t>,</w:t>
      </w:r>
      <w:r>
        <w:rPr>
          <w:lang w:val="ru-RU" w:eastAsia="ru-RU" w:bidi="ru-RU"/>
          <w:w w:val="100"/>
          <w:spacing w:val="0"/>
          <w:color w:val="000000"/>
          <w:position w:val="0"/>
        </w:rPr>
        <w:t xml:space="preserve"> </w:t>
      </w:r>
      <w:r>
        <w:rPr>
          <w:rStyle w:val="CharStyle19"/>
        </w:rPr>
        <w:t>ч. 3</w:t>
      </w:r>
      <w:r>
        <w:rPr>
          <w:rStyle w:val="CharStyle21"/>
        </w:rPr>
        <w:t xml:space="preserve"> </w:t>
      </w:r>
      <w:r>
        <w:rPr>
          <w:lang w:val="ru-RU" w:eastAsia="ru-RU" w:bidi="ru-RU"/>
          <w:w w:val="100"/>
          <w:spacing w:val="0"/>
          <w:color w:val="000000"/>
          <w:position w:val="0"/>
        </w:rPr>
        <w:t>и</w:t>
      </w:r>
      <w:r>
        <w:rPr>
          <w:lang w:val="ru-RU" w:eastAsia="ru-RU" w:bidi="ru-RU"/>
          <w:w w:val="100"/>
          <w:spacing w:val="0"/>
          <w:color w:val="000000"/>
          <w:position w:val="0"/>
        </w:rPr>
        <w:t xml:space="preserve"> </w:t>
      </w:r>
      <w:r>
        <w:rPr>
          <w:rStyle w:val="CharStyle19"/>
        </w:rPr>
        <w:t>5 ст. 66</w:t>
      </w:r>
      <w:r>
        <w:rPr>
          <w:rStyle w:val="CharStyle21"/>
        </w:rPr>
        <w:t xml:space="preserve"> </w:t>
      </w:r>
      <w:r>
        <w:rPr>
          <w:lang w:val="ru-RU" w:eastAsia="ru-RU" w:bidi="ru-RU"/>
          <w:w w:val="100"/>
          <w:spacing w:val="0"/>
          <w:color w:val="000000"/>
          <w:position w:val="0"/>
        </w:rPr>
        <w:t xml:space="preserve">настоящего Закона №44-ФЗ, а также разделом </w:t>
      </w:r>
      <w:r>
        <w:rPr>
          <w:lang w:val="en-US" w:eastAsia="en-US" w:bidi="en-US"/>
          <w:w w:val="100"/>
          <w:spacing w:val="0"/>
          <w:color w:val="000000"/>
          <w:position w:val="0"/>
        </w:rPr>
        <w:t xml:space="preserve">II.III </w:t>
      </w:r>
      <w:r>
        <w:rPr>
          <w:lang w:val="ru-RU" w:eastAsia="ru-RU" w:bidi="ru-RU"/>
          <w:w w:val="100"/>
          <w:spacing w:val="0"/>
          <w:color w:val="000000"/>
          <w:position w:val="0"/>
        </w:rPr>
        <w:t>документации об аукционе в электронной форме, а именно:</w:t>
      </w:r>
    </w:p>
    <w:p>
      <w:pPr>
        <w:pStyle w:val="Style17"/>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40" w:right="40" w:firstLine="560"/>
      </w:pPr>
      <w:r>
        <w:rPr>
          <w:lang w:val="ru-RU" w:eastAsia="ru-RU" w:bidi="ru-RU"/>
          <w:w w:val="100"/>
          <w:spacing w:val="0"/>
          <w:color w:val="000000"/>
          <w:position w:val="0"/>
        </w:rPr>
        <w:t xml:space="preserve">Согласно пункту 2.1 части 3 раздела </w:t>
      </w:r>
      <w:r>
        <w:rPr>
          <w:lang w:val="en-US" w:eastAsia="en-US" w:bidi="en-US"/>
          <w:w w:val="100"/>
          <w:spacing w:val="0"/>
          <w:color w:val="000000"/>
          <w:position w:val="0"/>
        </w:rPr>
        <w:t xml:space="preserve">II.III </w:t>
      </w:r>
      <w:r>
        <w:rPr>
          <w:lang w:val="ru-RU" w:eastAsia="ru-RU" w:bidi="ru-RU"/>
          <w:w w:val="100"/>
          <w:spacing w:val="0"/>
          <w:color w:val="000000"/>
          <w:position w:val="0"/>
        </w:rPr>
        <w:t>документации об аукционе в электронной форме, вторая часть заявки на участие в электронном аукционе должна содержать документы или копии документов, подтверждающие соответствие участника электронного аукциона установленным в соответствии с законодательством Российской Федерации к лицам, осуществляющим выполнение работ, являющихся объектом закупки: выписка из реестра членов СРО в области строительства, реконструкции, капитального ремонта объектов капитального строительства по</w:t>
      </w:r>
      <w:r>
        <w:rPr>
          <w:lang w:val="ru-RU" w:eastAsia="ru-RU" w:bidi="ru-RU"/>
          <w:w w:val="100"/>
          <w:spacing w:val="0"/>
          <w:color w:val="000000"/>
          <w:position w:val="0"/>
        </w:rPr>
        <w:t xml:space="preserve"> форме,</w:t>
      </w:r>
      <w:r>
        <w:rPr>
          <w:lang w:val="ru-RU" w:eastAsia="ru-RU" w:bidi="ru-RU"/>
          <w:w w:val="100"/>
          <w:spacing w:val="0"/>
          <w:color w:val="000000"/>
          <w:position w:val="0"/>
        </w:rPr>
        <w:t xml:space="preserve"> утвержденной Приказом Ростехнадзора от 16.02.2017 </w:t>
      </w:r>
      <w:r>
        <w:rPr>
          <w:lang w:val="en-US" w:eastAsia="en-US" w:bidi="en-US"/>
          <w:w w:val="100"/>
          <w:spacing w:val="0"/>
          <w:color w:val="000000"/>
          <w:position w:val="0"/>
        </w:rPr>
        <w:t xml:space="preserve">N </w:t>
      </w:r>
      <w:r>
        <w:rPr>
          <w:lang w:val="ru-RU" w:eastAsia="ru-RU" w:bidi="ru-RU"/>
          <w:w w:val="100"/>
          <w:spacing w:val="0"/>
          <w:color w:val="000000"/>
          <w:position w:val="0"/>
        </w:rPr>
        <w:t xml:space="preserve">58. </w:t>
      </w:r>
      <w:r>
        <w:rPr>
          <w:rStyle w:val="CharStyle20"/>
        </w:rPr>
        <w:t>Данная выписка должна быть выдана</w:t>
      </w:r>
      <w:r>
        <w:rPr>
          <w:lang w:val="ru-RU" w:eastAsia="ru-RU" w:bidi="ru-RU"/>
          <w:w w:val="100"/>
          <w:spacing w:val="0"/>
          <w:color w:val="000000"/>
          <w:position w:val="0"/>
        </w:rPr>
        <w:t xml:space="preserve"> </w:t>
      </w:r>
      <w:r>
        <w:rPr>
          <w:rStyle w:val="CharStyle22"/>
        </w:rPr>
        <w:t xml:space="preserve">не ранее чем за один месяц </w:t>
      </w:r>
      <w:r>
        <w:rPr>
          <w:rStyle w:val="CharStyle20"/>
        </w:rPr>
        <w:t>до даты окончания срока подачи заявок,</w:t>
      </w:r>
      <w:r>
        <w:rPr>
          <w:lang w:val="ru-RU" w:eastAsia="ru-RU" w:bidi="ru-RU"/>
          <w:w w:val="100"/>
          <w:spacing w:val="0"/>
          <w:color w:val="000000"/>
          <w:position w:val="0"/>
        </w:rPr>
        <w:t xml:space="preserve"> который указан в извещении об аукционе и настоящей документации.</w:t>
      </w:r>
    </w:p>
    <w:p>
      <w:pPr>
        <w:pStyle w:val="Style17"/>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40" w:right="40" w:firstLine="560"/>
      </w:pPr>
      <w:r>
        <w:rPr>
          <w:lang w:val="ru-RU" w:eastAsia="ru-RU" w:bidi="ru-RU"/>
          <w:w w:val="100"/>
          <w:spacing w:val="0"/>
          <w:color w:val="000000"/>
          <w:position w:val="0"/>
        </w:rPr>
        <w:t xml:space="preserve">В свою очередь, участником электронного аукциона предоставлена выписка из реестра членов саморегулируемой организации в области строительства, реконструкции, капитального ремонта объектов капитального строительства №115-С от </w:t>
      </w:r>
      <w:r>
        <w:rPr>
          <w:rStyle w:val="CharStyle22"/>
        </w:rPr>
        <w:t>12.09.2017г.</w:t>
      </w:r>
    </w:p>
    <w:p>
      <w:pPr>
        <w:pStyle w:val="Style17"/>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40" w:right="40" w:firstLine="560"/>
      </w:pPr>
      <w:r>
        <w:rPr>
          <w:lang w:val="ru-RU" w:eastAsia="ru-RU" w:bidi="ru-RU"/>
          <w:w w:val="100"/>
          <w:spacing w:val="0"/>
          <w:color w:val="000000"/>
          <w:position w:val="0"/>
        </w:rPr>
        <w:t>Таким образом, участником электронного аукциона не предоставлен документ, соответствующий требованиям документации об аукционе в электронной форме.</w:t>
      </w:r>
    </w:p>
    <w:p>
      <w:pPr>
        <w:pStyle w:val="Style7"/>
        <w:widowControl w:val="0"/>
        <w:keepNext w:val="0"/>
        <w:keepLines w:val="0"/>
        <w:shd w:val="clear" w:color="auto" w:fill="auto"/>
        <w:bidi w:val="0"/>
        <w:jc w:val="left"/>
        <w:spacing w:before="0" w:after="0" w:line="317" w:lineRule="exact"/>
        <w:ind w:left="40" w:right="0" w:firstLine="840"/>
      </w:pPr>
      <w:r>
        <w:rPr>
          <w:rStyle w:val="CharStyle23"/>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left"/>
        <w:spacing w:before="0" w:after="0" w:line="317" w:lineRule="exact"/>
        <w:ind w:left="40" w:right="40" w:firstLine="840"/>
      </w:pPr>
      <w:r>
        <w:rPr>
          <w:lang w:val="ru-RU" w:eastAsia="ru-RU" w:bidi="ru-RU"/>
          <w:w w:val="100"/>
          <w:spacing w:val="0"/>
          <w:color w:val="000000"/>
          <w:position w:val="0"/>
        </w:rPr>
        <w:t>Заказчиком в документации об Аукционе установлены следующие требования к_составу_вторых_частей_заявокучастников:_«...</w:t>
      </w:r>
    </w:p>
    <w:tbl>
      <w:tblPr>
        <w:tblOverlap w:val="never"/>
        <w:tblLayout w:type="fixed"/>
        <w:jc w:val="center"/>
      </w:tblPr>
      <w:tblGrid>
        <w:gridCol w:w="1426"/>
        <w:gridCol w:w="1738"/>
        <w:gridCol w:w="7061"/>
      </w:tblGrid>
      <w:tr>
        <w:trPr>
          <w:trHeight w:val="725" w:hRule="exact"/>
        </w:trPr>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10" w:lineRule="exact"/>
              <w:ind w:left="480" w:right="0" w:firstLine="0"/>
            </w:pPr>
            <w:r>
              <w:rPr>
                <w:rStyle w:val="CharStyle24"/>
              </w:rPr>
              <w:t>3</w:t>
            </w:r>
          </w:p>
        </w:tc>
        <w:tc>
          <w:tcPr>
            <w:shd w:val="clear" w:color="auto" w:fill="FFFFFF"/>
            <w:gridSpan w:val="2"/>
            <w:tcBorders>
              <w:left w:val="single" w:sz="4"/>
              <w:righ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24"/>
              </w:rPr>
              <w:t>Вторая часть заявки на участие в электронном аукционе должна содержать следующие документы и информацию:</w:t>
            </w:r>
          </w:p>
        </w:tc>
      </w:tr>
      <w:tr>
        <w:trPr>
          <w:trHeight w:val="5030" w:hRule="exact"/>
        </w:trPr>
        <w:tc>
          <w:tcPr>
            <w:shd w:val="clear" w:color="auto" w:fill="FFFFFF"/>
            <w:tcBorders>
              <w:left w:val="single" w:sz="4"/>
              <w:top w:val="single" w:sz="4"/>
              <w:bottom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center"/>
          </w:tcPr>
          <w:p>
            <w:pPr>
              <w:pStyle w:val="Style7"/>
              <w:framePr w:w="10224"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24"/>
              </w:rPr>
              <w:t>2) документы подтверждающие соответствие участника аукциона следующим требованиям:</w:t>
            </w:r>
          </w:p>
          <w:p>
            <w:pPr>
              <w:pStyle w:val="Style7"/>
              <w:framePr w:w="10224" w:wrap="notBeside" w:vAnchor="text" w:hAnchor="text" w:xAlign="center" w:y="1"/>
              <w:widowControl w:val="0"/>
              <w:keepNext w:val="0"/>
              <w:keepLines w:val="0"/>
              <w:shd w:val="clear" w:color="auto" w:fill="auto"/>
              <w:bidi w:val="0"/>
              <w:jc w:val="both"/>
              <w:spacing w:before="0" w:after="180" w:line="250" w:lineRule="exact"/>
              <w:ind w:left="0" w:right="0" w:firstLine="0"/>
            </w:pPr>
            <w:r>
              <w:rPr>
                <w:rStyle w:val="CharStyle24"/>
              </w:rPr>
              <w:t>2.1) соответствие требованиям, установленным в соответствии с законодательством Российской Федерации к лицам, осуществляющим выполнение работ, являющихся объектом закупки: выписка из реестра членов СРО, основанные на членстве лиц, осуществляющих строительство, по форме, которая утверждена Приказом Ростехнадзора от 16.02.2017 № 58. Данная выписка должна быть выдана не ранее чем за один месяц до даты окончания срока подачи заявок, который указан в извещении об аукционе и настоящей документации.</w:t>
            </w:r>
          </w:p>
          <w:p>
            <w:pPr>
              <w:pStyle w:val="Style7"/>
              <w:framePr w:w="10224" w:wrap="notBeside" w:vAnchor="text" w:hAnchor="text" w:xAlign="center" w:y="1"/>
              <w:widowControl w:val="0"/>
              <w:keepNext w:val="0"/>
              <w:keepLines w:val="0"/>
              <w:shd w:val="clear" w:color="auto" w:fill="auto"/>
              <w:bidi w:val="0"/>
              <w:jc w:val="both"/>
              <w:spacing w:before="180" w:after="0" w:line="254" w:lineRule="exact"/>
              <w:ind w:left="0" w:right="0" w:firstLine="0"/>
            </w:pPr>
            <w:r>
              <w:rPr>
                <w:rStyle w:val="CharStyle24"/>
              </w:rPr>
              <w:t>Сведения - СРО, в которой состоит участник, о компенсационном фонде обеспечения договорных обязательств;</w:t>
            </w:r>
          </w:p>
          <w:p>
            <w:pPr>
              <w:pStyle w:val="Style7"/>
              <w:framePr w:w="10224" w:wrap="notBeside" w:vAnchor="text" w:hAnchor="text" w:xAlign="center" w:y="1"/>
              <w:widowControl w:val="0"/>
              <w:keepNext w:val="0"/>
              <w:keepLines w:val="0"/>
              <w:shd w:val="clear" w:color="auto" w:fill="auto"/>
              <w:bidi w:val="0"/>
              <w:jc w:val="both"/>
              <w:spacing w:before="0" w:after="0" w:line="254" w:lineRule="exact"/>
              <w:ind w:left="0" w:right="0" w:firstLine="0"/>
            </w:pPr>
            <w:r>
              <w:rPr>
                <w:rStyle w:val="CharStyle24"/>
              </w:rPr>
              <w:t>- совокупный размер обязательств участника закупки по договорам, которые заключены с использованием конкурентных способов, не должен превышать уровень ответственности участника по компенсационному фонду обеспечения договорных обязательств.</w:t>
            </w:r>
          </w:p>
        </w:tc>
      </w:tr>
    </w:tbl>
    <w:p>
      <w:pPr>
        <w:widowControl w:val="0"/>
        <w:rPr>
          <w:sz w:val="2"/>
          <w:szCs w:val="2"/>
        </w:rPr>
      </w:pPr>
    </w:p>
    <w:p>
      <w:pPr>
        <w:pStyle w:val="Style7"/>
        <w:widowControl w:val="0"/>
        <w:keepNext w:val="0"/>
        <w:keepLines w:val="0"/>
        <w:shd w:val="clear" w:color="auto" w:fill="auto"/>
        <w:bidi w:val="0"/>
        <w:jc w:val="left"/>
        <w:spacing w:before="0" w:after="52" w:line="260" w:lineRule="exact"/>
        <w:ind w:left="40" w:right="0" w:firstLine="840"/>
      </w:pPr>
      <w:r>
        <w:rPr>
          <w:lang w:val="ru-RU" w:eastAsia="ru-RU" w:bidi="ru-RU"/>
          <w:w w:val="100"/>
          <w:spacing w:val="0"/>
          <w:color w:val="000000"/>
          <w:position w:val="0"/>
        </w:rPr>
        <w:t>.» (цитата).</w:t>
      </w:r>
    </w:p>
    <w:p>
      <w:pPr>
        <w:pStyle w:val="Style7"/>
        <w:widowControl w:val="0"/>
        <w:keepNext w:val="0"/>
        <w:keepLines w:val="0"/>
        <w:shd w:val="clear" w:color="auto" w:fill="auto"/>
        <w:bidi w:val="0"/>
        <w:jc w:val="left"/>
        <w:spacing w:before="0" w:after="7" w:line="260" w:lineRule="exact"/>
        <w:ind w:left="40" w:right="0" w:firstLine="840"/>
      </w:pPr>
      <w:r>
        <w:rPr>
          <w:lang w:val="ru-RU" w:eastAsia="ru-RU" w:bidi="ru-RU"/>
          <w:w w:val="100"/>
          <w:spacing w:val="0"/>
          <w:color w:val="000000"/>
          <w:position w:val="0"/>
        </w:rPr>
        <w:t>В ходе заседания Комиссии представитель Уполномоченного органа пояснил:</w:t>
      </w:r>
    </w:p>
    <w:p>
      <w:pPr>
        <w:pStyle w:val="Style17"/>
        <w:tabs>
          <w:tab w:leader="none" w:pos="3338" w:val="left"/>
        </w:tabs>
        <w:widowControl w:val="0"/>
        <w:keepNext w:val="0"/>
        <w:keepLines w:val="0"/>
        <w:shd w:val="clear" w:color="auto" w:fill="auto"/>
        <w:bidi w:val="0"/>
        <w:spacing w:before="0" w:after="0"/>
        <w:ind w:left="40" w:right="40" w:firstLine="0"/>
      </w:pPr>
      <w:r>
        <w:rPr>
          <w:rStyle w:val="CharStyle25"/>
        </w:rPr>
        <w:t>«.</w:t>
      </w:r>
      <w:r>
        <w:rPr>
          <w:lang w:val="ru-RU" w:eastAsia="ru-RU" w:bidi="ru-RU"/>
          <w:w w:val="100"/>
          <w:spacing w:val="0"/>
          <w:color w:val="000000"/>
          <w:position w:val="0"/>
        </w:rPr>
        <w:t>Вторая часть заявки участника электронного аукциона должна содержать документы, подтверждающее соответствие требованиям, установленным в соответствии с законодательством Российской Федерации к лицам, осуществляющим выполнение работ или оказание услуг, являющихся объектом закупки: выписку из реестра членов СРО в области строительства, реконструкции, капитального ремонта объектов капитального строительства по форме, утвержденной Приказом Федеральной службы по экологическому, технологическому и атомному надзору от 16.02.2017 №</w:t>
        <w:tab/>
        <w:t>58 «Об утверждении форсы выписки из реестра членов</w:t>
      </w:r>
    </w:p>
    <w:p>
      <w:pPr>
        <w:pStyle w:val="Style3"/>
        <w:widowControl w:val="0"/>
        <w:keepNext w:val="0"/>
        <w:keepLines w:val="0"/>
        <w:shd w:val="clear" w:color="auto" w:fill="auto"/>
        <w:bidi w:val="0"/>
        <w:jc w:val="both"/>
        <w:spacing w:before="0" w:after="0"/>
        <w:ind w:left="40" w:right="40" w:firstLine="0"/>
      </w:pPr>
      <w:r>
        <w:rPr>
          <w:rStyle w:val="CharStyle27"/>
          <w:b w:val="0"/>
          <w:bCs w:val="0"/>
        </w:rPr>
        <w:t xml:space="preserve">саморегулируемой организации», </w:t>
      </w:r>
      <w:r>
        <w:rPr>
          <w:lang w:val="ru-RU" w:eastAsia="ru-RU" w:bidi="ru-RU"/>
          <w:w w:val="100"/>
          <w:spacing w:val="0"/>
          <w:color w:val="000000"/>
          <w:position w:val="0"/>
        </w:rPr>
        <w:t>выданная не ранее чем за один месяц до даты окончания срока подачи заявок.</w:t>
      </w:r>
      <w:r>
        <w:br w:type="page"/>
      </w:r>
    </w:p>
    <w:p>
      <w:pPr>
        <w:pStyle w:val="Style3"/>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извещению о проведении электронного аукциона, окончание срока подачи заявок 18.10.2017. Следовательно, предоставляемые участниками закупки выписки СРО должны быть выданы не ранее 18.09.2017...</w:t>
      </w:r>
    </w:p>
    <w:p>
      <w:pPr>
        <w:pStyle w:val="Style17"/>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 xml:space="preserve">В свою очередь, участником электронного аукциона предоставлена выписка из реестра членов саморегулируемой организации в области строительства, реконструкции, капитального ремонта объектов капитального строительства №115-С от </w:t>
      </w:r>
      <w:r>
        <w:rPr>
          <w:rStyle w:val="CharStyle22"/>
        </w:rPr>
        <w:t>12.09.2017г.</w:t>
      </w:r>
    </w:p>
    <w:p>
      <w:pPr>
        <w:pStyle w:val="Style17"/>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Таким образом, участником электронного аукциона не предоставлен документ, соответствующий требованиям документации об аукционе в электронной форме.</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 (цитата письменных пояснений).</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Комиссия, изучив документацию об Аукционе, рассмотрев заявку Заявителя (порядковый номер «2»), установила, что предоставленная Заявителем в своей заявке выписка из реестра членов саморегулируемой организации №115-С выдана последнему - 12.09.2017 в превышающий установленный документацией об Аукционе срок.</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Таким образом, действия Единой комиссии Уполномоченного органа, принявшей решение о несоответствии заявки участника закупки с порядковым номером «2», требованиям, установленным в документации об Аукционе, не нарушают требований частей 6, 7 статьи 69 Закона о контрактной системе.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left"/>
        <w:spacing w:before="0" w:after="109"/>
        <w:ind w:left="4900" w:right="0" w:firstLine="0"/>
      </w:pPr>
      <w:r>
        <w:rPr>
          <w:lang w:val="ru-RU" w:eastAsia="ru-RU" w:bidi="ru-RU"/>
          <w:w w:val="100"/>
          <w:spacing w:val="0"/>
          <w:color w:val="000000"/>
          <w:position w:val="0"/>
        </w:rPr>
        <w:t>РЕШИЛА:</w:t>
      </w:r>
    </w:p>
    <w:p>
      <w:pPr>
        <w:pStyle w:val="Style7"/>
        <w:widowControl w:val="0"/>
        <w:keepNext w:val="0"/>
        <w:keepLines w:val="0"/>
        <w:shd w:val="clear" w:color="auto" w:fill="auto"/>
        <w:bidi w:val="0"/>
        <w:jc w:val="both"/>
        <w:spacing w:before="0" w:after="68" w:line="260" w:lineRule="exact"/>
        <w:ind w:left="0" w:right="0" w:firstLine="860"/>
      </w:pPr>
      <w:r>
        <w:rPr>
          <w:lang w:val="ru-RU" w:eastAsia="ru-RU" w:bidi="ru-RU"/>
          <w:w w:val="100"/>
          <w:spacing w:val="0"/>
          <w:color w:val="000000"/>
          <w:position w:val="0"/>
        </w:rPr>
        <w:t>Признать жалобу Заявителя необоснованной.</w:t>
      </w:r>
    </w:p>
    <w:p>
      <w:pPr>
        <w:pStyle w:val="Style7"/>
        <w:widowControl w:val="0"/>
        <w:keepNext w:val="0"/>
        <w:keepLines w:val="0"/>
        <w:shd w:val="clear" w:color="auto" w:fill="auto"/>
        <w:bidi w:val="0"/>
        <w:jc w:val="both"/>
        <w:spacing w:before="0" w:after="343"/>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57" w:val="right"/>
          <w:tab w:leader="none" w:pos="8390" w:val="right"/>
          <w:tab w:leader="none" w:pos="9588"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588" w:val="right"/>
          <w:tab w:leader="none" w:pos="8371" w:val="right"/>
          <w:tab w:leader="none" w:pos="9518"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35"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footnotePr>
        <w:pos w:val="pageBottom"/>
        <w:numFmt w:val="decimal"/>
        <w:numRestart w:val="continuous"/>
      </w:footnotePr>
      <w:type w:val="continuous"/>
      <w:pgSz w:w="11906" w:h="16838"/>
      <w:pgMar w:top="1417" w:left="891" w:right="733" w:bottom="86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17"/>
      <w:numFmt w:val="decimal"/>
      <w:lvlText w:val="26.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2"/>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en-US" w:eastAsia="en-US" w:bidi="en-US"/>
      <w:u w:val="single"/>
      <w:w w:val="100"/>
      <w:spacing w:val="0"/>
      <w:color w:val="000000"/>
      <w:position w:val="0"/>
    </w:rPr>
  </w:style>
  <w:style w:type="character" w:customStyle="1" w:styleId="CharStyle13">
    <w:name w:val="Основной текст"/>
    <w:basedOn w:val="CharStyle9"/>
    <w:rPr>
      <w:lang w:val="en-US" w:eastAsia="en-US" w:bidi="en-US"/>
      <w:w w:val="100"/>
      <w:spacing w:val="0"/>
      <w:color w:val="000000"/>
      <w:position w:val="0"/>
    </w:rPr>
  </w:style>
  <w:style w:type="character" w:customStyle="1" w:styleId="CharStyle14">
    <w:name w:val="Основной текст"/>
    <w:basedOn w:val="CharStyle9"/>
    <w:rPr>
      <w:lang w:val="ru-RU" w:eastAsia="ru-RU" w:bidi="ru-RU"/>
      <w:u w:val="single"/>
      <w:w w:val="100"/>
      <w:spacing w:val="0"/>
      <w:color w:val="000000"/>
      <w:position w:val="0"/>
    </w:rPr>
  </w:style>
  <w:style w:type="character" w:customStyle="1" w:styleId="CharStyle15">
    <w:name w:val="Основной текст + 11 pt,Полужирный"/>
    <w:basedOn w:val="CharStyle9"/>
    <w:rPr>
      <w:lang w:val="ru-RU" w:eastAsia="ru-RU" w:bidi="ru-RU"/>
      <w:b/>
      <w:bCs/>
      <w:sz w:val="22"/>
      <w:szCs w:val="22"/>
      <w:w w:val="100"/>
      <w:spacing w:val="0"/>
      <w:color w:val="000000"/>
      <w:position w:val="0"/>
    </w:rPr>
  </w:style>
  <w:style w:type="character" w:customStyle="1" w:styleId="CharStyle16">
    <w:name w:val="Основной текст + 11 pt"/>
    <w:basedOn w:val="CharStyle9"/>
    <w:rPr>
      <w:lang w:val="ru-RU" w:eastAsia="ru-RU" w:bidi="ru-RU"/>
      <w:sz w:val="22"/>
      <w:szCs w:val="22"/>
      <w:w w:val="100"/>
      <w:spacing w:val="0"/>
      <w:color w:val="000000"/>
      <w:position w:val="0"/>
    </w:rPr>
  </w:style>
  <w:style w:type="character" w:customStyle="1" w:styleId="CharStyle18">
    <w:name w:val="Основной текст (5)_"/>
    <w:basedOn w:val="DefaultParagraphFont"/>
    <w:link w:val="Style17"/>
    <w:rPr>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5) + 13 pt"/>
    <w:basedOn w:val="CharStyle18"/>
    <w:rPr>
      <w:lang w:val="ru-RU" w:eastAsia="ru-RU" w:bidi="ru-RU"/>
      <w:u w:val="single"/>
      <w:sz w:val="26"/>
      <w:szCs w:val="26"/>
      <w:w w:val="100"/>
      <w:spacing w:val="0"/>
      <w:color w:val="000000"/>
      <w:position w:val="0"/>
    </w:rPr>
  </w:style>
  <w:style w:type="character" w:customStyle="1" w:styleId="CharStyle20">
    <w:name w:val="Основной текст (5)"/>
    <w:basedOn w:val="CharStyle18"/>
    <w:rPr>
      <w:lang w:val="ru-RU" w:eastAsia="ru-RU" w:bidi="ru-RU"/>
      <w:u w:val="single"/>
      <w:w w:val="100"/>
      <w:spacing w:val="0"/>
      <w:color w:val="000000"/>
      <w:position w:val="0"/>
    </w:rPr>
  </w:style>
  <w:style w:type="character" w:customStyle="1" w:styleId="CharStyle21">
    <w:name w:val="Основной текст (5) + 13 pt"/>
    <w:basedOn w:val="CharStyle18"/>
    <w:rPr>
      <w:lang w:val="ru-RU" w:eastAsia="ru-RU" w:bidi="ru-RU"/>
      <w:sz w:val="26"/>
      <w:szCs w:val="26"/>
      <w:w w:val="100"/>
      <w:spacing w:val="0"/>
      <w:color w:val="000000"/>
      <w:position w:val="0"/>
    </w:rPr>
  </w:style>
  <w:style w:type="character" w:customStyle="1" w:styleId="CharStyle22">
    <w:name w:val="Основной текст (5) + Полужирный"/>
    <w:basedOn w:val="CharStyle18"/>
    <w:rPr>
      <w:lang w:val="ru-RU" w:eastAsia="ru-RU" w:bidi="ru-RU"/>
      <w:b/>
      <w:bCs/>
      <w:u w:val="single"/>
      <w:w w:val="100"/>
      <w:spacing w:val="0"/>
      <w:color w:val="000000"/>
      <w:position w:val="0"/>
    </w:rPr>
  </w:style>
  <w:style w:type="character" w:customStyle="1" w:styleId="CharStyle23">
    <w:name w:val="Основной текст"/>
    <w:basedOn w:val="CharStyle9"/>
    <w:rPr>
      <w:lang w:val="ru-RU" w:eastAsia="ru-RU" w:bidi="ru-RU"/>
      <w:w w:val="100"/>
      <w:spacing w:val="0"/>
      <w:color w:val="000000"/>
      <w:position w:val="0"/>
    </w:rPr>
  </w:style>
  <w:style w:type="character" w:customStyle="1" w:styleId="CharStyle24">
    <w:name w:val="Основной текст + 10,5 pt"/>
    <w:basedOn w:val="CharStyle9"/>
    <w:rPr>
      <w:lang w:val="ru-RU" w:eastAsia="ru-RU" w:bidi="ru-RU"/>
      <w:sz w:val="21"/>
      <w:szCs w:val="21"/>
      <w:w w:val="100"/>
      <w:spacing w:val="0"/>
      <w:color w:val="000000"/>
      <w:position w:val="0"/>
    </w:rPr>
  </w:style>
  <w:style w:type="character" w:customStyle="1" w:styleId="CharStyle25">
    <w:name w:val="Основной текст (5) + 13 pt"/>
    <w:basedOn w:val="CharStyle18"/>
    <w:rPr>
      <w:lang w:val="ru-RU" w:eastAsia="ru-RU" w:bidi="ru-RU"/>
      <w:sz w:val="26"/>
      <w:szCs w:val="26"/>
      <w:w w:val="100"/>
      <w:spacing w:val="0"/>
      <w:color w:val="000000"/>
      <w:position w:val="0"/>
    </w:rPr>
  </w:style>
  <w:style w:type="character" w:customStyle="1" w:styleId="CharStyle26">
    <w:name w:val="Основной текст (3)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27">
    <w:name w:val="Основной текст (3) + Не полужирный"/>
    <w:basedOn w:val="CharStyle26"/>
    <w:rPr>
      <w:lang w:val="ru-RU" w:eastAsia="ru-RU" w:bidi="ru-RU"/>
      <w:b/>
      <w:bCs/>
      <w:w w:val="100"/>
      <w:spacing w:val="0"/>
      <w:color w:val="000000"/>
      <w:position w:val="0"/>
    </w:rPr>
  </w:style>
  <w:style w:type="paragraph" w:customStyle="1" w:styleId="Style3">
    <w:name w:val="Основной текст (3)"/>
    <w:basedOn w:val="Normal"/>
    <w:link w:val="CharStyle26"/>
    <w:pPr>
      <w:widowControl w:val="0"/>
      <w:shd w:val="clear" w:color="auto" w:fill="FFFFFF"/>
      <w:jc w:val="center"/>
      <w:spacing w:after="18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6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jc w:val="both"/>
      <w:spacing w:line="274"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