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30"/>
        <w:ind w:left="0" w:right="0" w:firstLine="0"/>
      </w:pPr>
      <w:r>
        <w:rPr>
          <w:rStyle w:val="CharStyle5"/>
        </w:rPr>
        <w:t>ФЕДЕРАЛЬНАЯ 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8"/>
          <w:b/>
          <w:bCs/>
        </w:rPr>
        <w:t>УПРАВЛЕНИЕ Федеральной антимонопольной службы но Ленинградской области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14"/>
        <w:ind w:left="0" w:right="0" w:firstLine="0"/>
      </w:pPr>
      <w:r>
        <w:rPr>
          <w:rStyle w:val="CharStyle11"/>
        </w:rPr>
        <w:t>ул. Смольного. 3. Санкт-Петербург. 191124 Тел.: (</w:t>
      </w:r>
      <w:r>
        <w:rPr>
          <w:rStyle w:val="CharStyle11"/>
          <w:lang w:val="en-US" w:eastAsia="en-US" w:bidi="en-US"/>
        </w:rPr>
        <w:t>S</w:t>
      </w:r>
      <w:r>
        <w:rPr>
          <w:rStyle w:val="CharStyle11"/>
        </w:rPr>
        <w:t xml:space="preserve">12) 274 30 </w:t>
      </w:r>
      <w:r>
        <w:rPr>
          <w:rStyle w:val="CharStyle11"/>
          <w:vertAlign w:val="superscript"/>
        </w:rPr>
        <w:t>7</w:t>
      </w:r>
      <w:r>
        <w:rPr>
          <w:rStyle w:val="CharStyle11"/>
        </w:rPr>
        <w:t>&lt;). факс: (812) 274 3070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150" w:lineRule="exact"/>
        <w:ind w:left="0" w:right="0" w:firstLine="0"/>
      </w:pPr>
      <w:r>
        <w:rPr>
          <w:rStyle w:val="CharStyle11"/>
          <w:lang w:val="en-US" w:eastAsia="en-US" w:bidi="en-US"/>
        </w:rPr>
        <w:t>E-mail: to47(o las.uovni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ИИ Хаджироков </w:t>
      </w:r>
      <w:r>
        <w:rPr>
          <w:lang w:val="en-US" w:eastAsia="en-US" w:bidi="en-US"/>
          <w:w w:val="100"/>
          <w:spacing w:val="0"/>
          <w:color w:val="000000"/>
          <w:position w:val="0"/>
        </w:rPr>
        <w:t>P.M.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305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Аул Кошехабль, ул. Ульянова, д.9 республика Адыгея, 385420 тел.: (938) 5380105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"mailto:hadgirokov@gmail.com"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hadgirokov@gmail.com</w:t>
      </w:r>
      <w:r>
        <w:fldChar w:fldCharType="end"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6838" w:h="23810"/>
          <w:pgMar w:top="4607" w:left="3468" w:right="3842" w:bottom="4578" w:header="0" w:footer="3" w:gutter="0"/>
          <w:rtlGutter w:val="0"/>
          <w:cols w:num="2" w:space="467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Извещение № 0145200000417001705</w:t>
      </w:r>
    </w:p>
    <w:p>
      <w:pPr>
        <w:widowControl w:val="0"/>
        <w:spacing w:line="140" w:lineRule="exact"/>
        <w:rPr>
          <w:sz w:val="11"/>
          <w:szCs w:val="11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489" w:line="200" w:lineRule="exact"/>
        <w:ind w:left="0" w:right="0" w:firstLine="0"/>
      </w:pPr>
      <w:r>
        <w:rPr>
          <w:rStyle w:val="CharStyle18"/>
        </w:rPr>
        <w:t>На №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center"/>
        <w:spacing w:before="0" w:after="286" w:line="317" w:lineRule="exact"/>
        <w:ind w:left="0" w:right="3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Комиссии Ленинградского УФАС России по контролю в сфере закупок по делу № 1342-03-1</w:t>
      </w:r>
      <w:r>
        <w:rPr>
          <w:lang w:val="en-US" w:eastAsia="en-US" w:bidi="en-US"/>
          <w:w w:val="100"/>
          <w:spacing w:val="0"/>
          <w:color w:val="000000"/>
          <w:position w:val="0"/>
        </w:rPr>
        <w:t>0123-P3/1</w:t>
      </w:r>
      <w:r>
        <w:rPr>
          <w:lang w:val="ru-RU" w:eastAsia="ru-RU" w:bidi="ru-RU"/>
          <w:w w:val="100"/>
          <w:spacing w:val="0"/>
          <w:color w:val="000000"/>
          <w:position w:val="0"/>
        </w:rPr>
        <w:t>7</w:t>
      </w:r>
    </w:p>
    <w:p>
      <w:pPr>
        <w:pStyle w:val="Style14"/>
        <w:tabs>
          <w:tab w:leader="none" w:pos="7623" w:val="right"/>
          <w:tab w:leader="none" w:pos="975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15" w:line="260" w:lineRule="exact"/>
        <w:ind w:left="380" w:right="0" w:firstLine="0"/>
      </w:pPr>
      <w:r>
        <w:rPr>
          <w:rStyle w:val="CharStyle19"/>
        </w:rPr>
        <w:t>D1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Л'Рября 2017 года</w:t>
        <w:tab/>
        <w:t>г.</w:t>
        <w:tab/>
        <w:t>Санкт-Петербург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38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Ленинградского УФАС России по контролю в сфере закупок (далее - Комиссия) в составе: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38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Хрущ Виктории Дановны - Врио начальника отдела контроля закупок, председателя Комиссии,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38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Пашедко Анны Дмитриевны - главного специалиста-эксперта отдела контроля закупок, члена Комиссии,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38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Канивец Елены Анатольевны - специалиста-эксперта отдела контроля закупок, члена Комиссии,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center"/>
        <w:spacing w:before="0" w:after="236" w:line="312" w:lineRule="exact"/>
        <w:ind w:left="0" w:right="3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38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Ленинградское УФАС России поступила жалоба ИП Хаджирокова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P.M.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(далее - Общество) (вх. № 10123 от 31.10.2017 г.) на действия Заказчика при проведении электронного аукциона на право заключения контракта на выполнение работ по ремонту холла и входной группы поликлиники для осуществления проекта "Вежливая регистратура", расположенной по адресу: Ленинградская область, г. Подпорожье, пр. Ленина, д.29.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42" w:line="317" w:lineRule="exact"/>
        <w:ind w:left="38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 1 ст. 105 Закона о контрактной системе любой участник закупки, а также осуществляющие общественный контроль общественные объединения, объединения юридических лиц в соответствии с законодательством Российской Федерации имеют право обжаловать в судебном порядке или в порядке, установленном настоящей главой, в контрольный орган в сфере закупок действия (бездействие) заказчика,</w:t>
      </w:r>
    </w:p>
    <w:p>
      <w:pPr>
        <w:pStyle w:val="Style20"/>
        <w:widowControl w:val="0"/>
        <w:keepNext/>
        <w:keepLines/>
        <w:shd w:val="clear" w:color="auto" w:fill="auto"/>
        <w:bidi w:val="0"/>
        <w:spacing w:before="0" w:after="0" w:line="340" w:lineRule="exact"/>
        <w:ind w:left="0" w:right="20" w:firstLine="0"/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>078820</w:t>
      </w:r>
      <w:bookmarkEnd w:id="0"/>
      <w:r>
        <w:br w:type="page"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уполномоченного органа, уполномоченного учреждения, специализированной </w:t>
      </w:r>
      <w:r>
        <w:rPr>
          <w:rStyle w:val="CharStyle22"/>
        </w:rPr>
        <w:t xml:space="preserve">организации, комиссии по осуществлению закупок, ее членов, должностных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лиц контрактной службы, контрактного управляющего, оператора электронной площадки, если такие действия (бездействие) нарушают права и законные интересы участника закупки.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 4 ст. 105 Закона о контрактной системе жалоба на положения документации о таком аукционе может быть подана участником закупки до окончания срока подачи заявок на участие в таком аукционе.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Ленинградского УФАС России установлено, что жалоба заявителя подана 31.10.2017 года посредством электронной почты и фактически содержит доводы об оспаривании положений документации.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Из извещения № 0145200000417001705 следует, что Дата и время окончания подачи заявок </w:t>
      </w:r>
      <w:r>
        <w:rPr>
          <w:rStyle w:val="CharStyle23"/>
        </w:rPr>
        <w:t xml:space="preserve">- </w:t>
      </w:r>
      <w:r>
        <w:rPr>
          <w:lang w:val="ru-RU" w:eastAsia="ru-RU" w:bidi="ru-RU"/>
          <w:w w:val="100"/>
          <w:spacing w:val="0"/>
          <w:color w:val="000000"/>
          <w:position w:val="0"/>
        </w:rPr>
        <w:t>26.10.2017 г. в 09 час. ООмин.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срок, предусмотренный для обжалования документации, истек 26.10.2017 г. в 09 час. ООмин.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п. 3 ч. 11 ст. 105 Закона о контрактной системе жалоба возвращается подавшему ее лицу без рассмотрения в случае, если жалоба подана по истечении срока, предусмотренного ст. 105 Закона о контрактной системе.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289" w:line="322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Комиссия Ленинградского УФАС России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center"/>
        <w:spacing w:before="0" w:after="357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center"/>
        <w:spacing w:before="0" w:after="298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Жалобу ИП Хаджирокова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P.M.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возвратить.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0"/>
        <w:ind w:left="20" w:right="20"/>
        <w:sectPr>
          <w:type w:val="continuous"/>
          <w:pgSz w:w="16838" w:h="23810"/>
          <w:pgMar w:top="4957" w:left="3588" w:right="3410" w:bottom="492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before="59" w:after="5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4"/>
        <w:framePr w:h="250" w:wrap="around" w:vAnchor="text" w:hAnchor="margin" w:x="8416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6"/>
          <w:spacing w:val="0"/>
        </w:rPr>
        <w:t>В.Д. Хрущ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762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0" w:right="0" w:firstLine="0"/>
        <w:sectPr>
          <w:type w:val="continuous"/>
          <w:pgSz w:w="16838" w:h="23810"/>
          <w:pgMar w:top="6249" w:left="3705" w:right="9873" w:bottom="676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p>
      <w:pPr>
        <w:pStyle w:val="Style12"/>
        <w:framePr w:h="210" w:wrap="around" w:vAnchor="text" w:hAnchor="margin" w:x="455" w:y="212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27"/>
          <w:lang w:val="ru-RU" w:eastAsia="ru-RU" w:bidi="ru-RU"/>
          <w:spacing w:val="0"/>
        </w:rPr>
        <w:t xml:space="preserve">Исх. </w:t>
      </w:r>
      <w:r>
        <w:rPr>
          <w:rStyle w:val="CharStyle27"/>
          <w:spacing w:val="0"/>
        </w:rPr>
        <w:t xml:space="preserve">1 </w:t>
      </w:r>
      <w:r>
        <w:rPr>
          <w:rStyle w:val="CharStyle27"/>
          <w:lang w:val="ru-RU" w:eastAsia="ru-RU" w:bidi="ru-RU"/>
          <w:spacing w:val="0"/>
        </w:rPr>
        <w:t xml:space="preserve">от </w:t>
      </w:r>
      <w:r>
        <w:rPr>
          <w:rStyle w:val="CharStyle27"/>
          <w:spacing w:val="0"/>
        </w:rPr>
        <w:t xml:space="preserve">25.10.2017 </w:t>
      </w:r>
      <w:r>
        <w:rPr>
          <w:rStyle w:val="CharStyle27"/>
          <w:lang w:val="ru-RU" w:eastAsia="ru-RU" w:bidi="ru-RU"/>
          <w:spacing w:val="0"/>
        </w:rPr>
        <w:t>г.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81" w:after="0" w:line="283" w:lineRule="exact"/>
        <w:ind w:left="1960" w:right="0" w:firstLine="3700"/>
      </w:pPr>
      <w:r>
        <w:rPr>
          <w:rStyle w:val="CharStyle28"/>
        </w:rPr>
        <w:t xml:space="preserve">Куда: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УФАС России по Ленинградской области 191124, г.Санкт-Петербург, ул. Смольного. 3, каб.3-143.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0"/>
        <w:ind w:left="6540" w:right="560" w:firstLine="0"/>
      </w:pPr>
      <w:r>
        <w:rPr>
          <w:rStyle w:val="CharStyle31"/>
        </w:rPr>
        <w:t xml:space="preserve">От кого: </w:t>
      </w:r>
      <w:r>
        <w:rPr>
          <w:rStyle w:val="CharStyle32"/>
        </w:rPr>
        <w:t xml:space="preserve">ИП Хаджироков </w:t>
      </w:r>
      <w:r>
        <w:rPr>
          <w:rStyle w:val="CharStyle32"/>
          <w:lang w:val="en-US" w:eastAsia="en-US" w:bidi="en-US"/>
        </w:rPr>
        <w:t xml:space="preserve">P.M.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385420 Р.Адыгея, Кошехабльский р-он,</w:t>
      </w:r>
    </w:p>
    <w:p>
      <w:pPr>
        <w:pStyle w:val="Style12"/>
        <w:tabs>
          <w:tab w:leader="none" w:pos="774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915" w:line="264" w:lineRule="exact"/>
        <w:ind w:left="74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а.</w:t>
        <w:tab/>
        <w:t>Кошехабль, ул. Ульянова. 9.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405" w:line="264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действия (бездействия) заказчика, уполномоченного органа, уполномоченного учреждения, специализированной организации, комиссии по осуществлению закупок</w:t>
      </w:r>
    </w:p>
    <w:p>
      <w:pPr>
        <w:pStyle w:val="Style12"/>
        <w:numPr>
          <w:ilvl w:val="0"/>
          <w:numId w:val="1"/>
        </w:numPr>
        <w:tabs>
          <w:tab w:leader="none" w:pos="6173" w:val="right"/>
          <w:tab w:leader="none" w:pos="7958" w:val="center"/>
          <w:tab w:leader="none" w:pos="1064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80" w:right="0" w:firstLine="720"/>
      </w:pPr>
      <w:r>
        <w:rPr>
          <w:rStyle w:val="CharStyle28"/>
        </w:rPr>
        <w:t xml:space="preserve"> Уполномоченное орган: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КОМИТЕТ</w:t>
        <w:tab/>
        <w:t>ГОСУДАРСТВЕННОГО</w:t>
        <w:tab/>
        <w:t>ЗАКАЗА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80" w:right="5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ЛЕНИНГРАДСКОЙ ОБЛАСТИ, </w:t>
      </w:r>
      <w:r>
        <w:rPr>
          <w:rStyle w:val="CharStyle28"/>
        </w:rPr>
        <w:t xml:space="preserve">Адрес: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Российская Федерация. 191124, Санкт-Петербург, Смольного ул, дом 3. литер А; </w:t>
      </w:r>
      <w:r>
        <w:rPr>
          <w:rStyle w:val="CharStyle28"/>
        </w:rPr>
        <w:t xml:space="preserve">телефон/факс: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+7 812 4563735, </w:t>
      </w:r>
      <w:r>
        <w:fldChar w:fldCharType="begin"/>
      </w:r>
      <w:r>
        <w:rPr>
          <w:color w:val="000000"/>
        </w:rPr>
        <w:instrText> HYPERLINK "mailto:lm_aliakhunova@lenreg.ru"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lm_aliakhunova@lenreg.ru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; </w:t>
      </w:r>
      <w:r>
        <w:rPr>
          <w:rStyle w:val="CharStyle28"/>
          <w:lang w:val="en-US" w:eastAsia="en-US" w:bidi="en-US"/>
        </w:rPr>
        <w:t xml:space="preserve">e-mail: </w:t>
      </w:r>
      <w:r>
        <w:fldChar w:fldCharType="begin"/>
      </w:r>
      <w:r>
        <w:rPr>
          <w:color w:val="000000"/>
        </w:rPr>
        <w:instrText> HYPERLINK "mailto:lm_aliakhunova@lenreg.ru"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lm_aliakhunova@lenreg.ru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80" w:right="560" w:firstLine="720"/>
      </w:pPr>
      <w:r>
        <w:rPr>
          <w:rStyle w:val="CharStyle28"/>
        </w:rPr>
        <w:t xml:space="preserve">Заказчик: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Государственное бюджетное учреждение здравоохранения Ленинградской области «Подпорожская межрайонная больница», </w:t>
      </w:r>
      <w:r>
        <w:rPr>
          <w:rStyle w:val="CharStyle28"/>
        </w:rPr>
        <w:t xml:space="preserve">Адрес: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187780, Ленинградская обл., Подпорожский р-н. г. Подпорожье, ул. Исакова, дом 24; </w:t>
      </w:r>
      <w:r>
        <w:rPr>
          <w:rStyle w:val="CharStyle28"/>
        </w:rPr>
        <w:t xml:space="preserve">телефон: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8-81365-2-15-30; </w:t>
      </w:r>
      <w:r>
        <w:rPr>
          <w:rStyle w:val="CharStyle28"/>
          <w:lang w:val="en-US" w:eastAsia="en-US" w:bidi="en-US"/>
        </w:rPr>
        <w:t xml:space="preserve">e-mail: </w:t>
      </w:r>
      <w:r>
        <w:rPr>
          <w:rStyle w:val="CharStyle33"/>
          <w:lang w:val="en-US" w:eastAsia="en-US" w:bidi="en-US"/>
        </w:rPr>
        <w:t>pod-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rStyle w:val="CharStyle33"/>
          <w:lang w:val="en-US" w:eastAsia="en-US" w:bidi="en-US"/>
        </w:rPr>
        <w:t>crbfrrvandex.ru</w:t>
      </w:r>
      <w:r>
        <w:rPr>
          <w:lang w:val="en-US" w:eastAsia="en-US" w:bidi="en-US"/>
          <w:w w:val="100"/>
          <w:spacing w:val="0"/>
          <w:color w:val="000000"/>
          <w:position w:val="0"/>
        </w:rPr>
        <w:t>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80" w:right="560" w:firstLine="9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Фамилии, имена, отчества членов комиссии по осуществлению закупок, действия которых обжалуются: </w:t>
      </w:r>
      <w:r>
        <w:rPr>
          <w:rStyle w:val="CharStyle34"/>
          <w:b w:val="0"/>
          <w:bCs w:val="0"/>
        </w:rPr>
        <w:t>Ответственное должностное лицо: Аляхунова Лола Мухамеджановна, Смирнова Кристина Дмитриевна.</w:t>
      </w:r>
    </w:p>
    <w:p>
      <w:pPr>
        <w:pStyle w:val="Style1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480" w:right="5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28"/>
        </w:rPr>
        <w:t xml:space="preserve">Заявитель: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ИП Хаджироков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P.M., </w:t>
      </w:r>
      <w:r>
        <w:rPr>
          <w:rStyle w:val="CharStyle28"/>
        </w:rPr>
        <w:t xml:space="preserve">ИНН: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010300822103, </w:t>
      </w:r>
      <w:r>
        <w:rPr>
          <w:rStyle w:val="CharStyle28"/>
        </w:rPr>
        <w:t xml:space="preserve">Адрес: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385420 Республика Адыгея. Кошехабльский район, аул Кошехабль. ул. Ульянова. 9; </w:t>
      </w:r>
      <w:r>
        <w:rPr>
          <w:rStyle w:val="CharStyle28"/>
        </w:rPr>
        <w:t xml:space="preserve">телефон: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8 (938) 538-01-05; </w:t>
      </w:r>
      <w:r>
        <w:rPr>
          <w:rStyle w:val="CharStyle28"/>
        </w:rPr>
        <w:t xml:space="preserve">факс: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нет; </w:t>
      </w:r>
      <w:r>
        <w:rPr>
          <w:rStyle w:val="CharStyle28"/>
          <w:lang w:val="en-US" w:eastAsia="en-US" w:bidi="en-US"/>
        </w:rPr>
        <w:t xml:space="preserve">e-mail: </w:t>
      </w:r>
      <w:r>
        <w:fldChar w:fldCharType="begin"/>
      </w:r>
      <w:r>
        <w:rPr>
          <w:color w:val="000000"/>
        </w:rPr>
        <w:instrText> HYPERLINK "mailto:hadgirokov@gmail.com"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hadgirokov@gmail.com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; </w:t>
      </w:r>
      <w:r>
        <w:rPr>
          <w:rStyle w:val="CharStyle28"/>
        </w:rPr>
        <w:t xml:space="preserve">контактное лицо </w:t>
      </w:r>
      <w:r>
        <w:rPr>
          <w:lang w:val="ru-RU" w:eastAsia="ru-RU" w:bidi="ru-RU"/>
          <w:w w:val="100"/>
          <w:spacing w:val="0"/>
          <w:color w:val="000000"/>
          <w:position w:val="0"/>
        </w:rPr>
        <w:t>- Хаджироков Руслан Мухаджирович.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48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Адрес официального сайта, на котором размещена информация о закупке: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63" w:line="220" w:lineRule="exact"/>
        <w:ind w:left="480" w:right="0" w:firstLine="0"/>
      </w:pPr>
      <w:r>
        <w:fldChar w:fldCharType="begin"/>
      </w:r>
      <w:r>
        <w:rPr>
          <w:rStyle w:val="CharStyle33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</w:rPr>
        <w:t>www.zakupki.gov.ru</w:t>
      </w:r>
      <w:r>
        <w:fldChar w:fldCharType="end"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25" w:line="220" w:lineRule="exact"/>
        <w:ind w:left="480" w:right="0" w:firstLine="720"/>
      </w:pPr>
      <w:r>
        <w:rPr>
          <w:rStyle w:val="CharStyle28"/>
        </w:rPr>
        <w:t xml:space="preserve">Номер извещения: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№ 0145200000417001705.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80" w:right="560" w:firstLine="720"/>
      </w:pPr>
      <w:r>
        <w:rPr>
          <w:rStyle w:val="CharStyle28"/>
        </w:rPr>
        <w:t xml:space="preserve">Наименование объекта закупки: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Выполнение работ по ремонту холла и входной группы поликлиники для осуществления проекта "Вежливая регистратура", расположенной по адресу: Ленинградская область.г.Подпорожье. пр. Ленина, д.29.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8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Способ определения поставщика (подрядчика, исполнителя): </w:t>
      </w:r>
      <w:r>
        <w:rPr>
          <w:rStyle w:val="CharStyle34"/>
          <w:b w:val="0"/>
          <w:bCs w:val="0"/>
        </w:rPr>
        <w:t>Электронный аукцион.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163" w:line="274" w:lineRule="exact"/>
        <w:ind w:left="48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Начальная (максимальная) цена контракта: </w:t>
      </w:r>
      <w:r>
        <w:rPr>
          <w:rStyle w:val="CharStyle34"/>
          <w:b w:val="0"/>
          <w:bCs w:val="0"/>
        </w:rPr>
        <w:t>5798412.62 Российский рубль.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24" w:line="220" w:lineRule="exact"/>
        <w:ind w:left="48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Дата опубликования извещения: </w:t>
      </w:r>
      <w:r>
        <w:rPr>
          <w:rStyle w:val="CharStyle34"/>
          <w:b w:val="0"/>
          <w:bCs w:val="0"/>
        </w:rPr>
        <w:t>10.10.2017.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480" w:right="560" w:firstLine="720"/>
      </w:pPr>
      <w:r>
        <w:rPr>
          <w:rStyle w:val="CharStyle34"/>
          <w:b w:val="0"/>
          <w:bCs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Обжалуемые действия комиссии по осуществлению закупок с указанием норм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которые, по мнению Заявителя нарушены: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80" w:right="560" w:firstLine="720"/>
        <w:sectPr>
          <w:pgSz w:w="16838" w:h="23810"/>
          <w:pgMar w:top="3203" w:left="2820" w:right="2820" w:bottom="320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- требования к качественным, функциональным и техническим характеристикам установленные в сведениях о материалах не соответствуют требован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носят необъективный (избыточный) характер, что является нарушением ст. 33 Закона о контрактной системе.</w:t>
      </w:r>
    </w:p>
    <w:p>
      <w:pPr>
        <w:pStyle w:val="Style12"/>
        <w:numPr>
          <w:ilvl w:val="0"/>
          <w:numId w:val="3"/>
        </w:numPr>
        <w:tabs>
          <w:tab w:leader="none" w:pos="119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66" w:line="269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. По поз. 3 «Краска МА-015, соответствующая ГОСТ 6586-77» требования к качественным, функциональным и техническим характеристикам установленные Заказчиком в Сведениях о товарах (материалах) используемых при выполнении подрядных работ не соответствуют требованиям действующего ГОСТ 6586-77 и имеют избыточный (необъективный) характер. Текст написан очень мелки шрифтом, затем отсканирован и переработать данное техническое задание для подготовки первой части заявки практически невозможно, после печати текст вообще не видно, приходится только увеличивать текст в формате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pdf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 частями читать требования Заказчика.</w:t>
      </w:r>
    </w:p>
    <w:p>
      <w:pPr>
        <w:pStyle w:val="Style35"/>
        <w:framePr w:w="10224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 1.5. ГОСТ 6586-77 Краска черная густотертая МА-015 должна соответствовать требованиям и нормам, указанным в табл.2.</w:t>
      </w:r>
    </w:p>
    <w:tbl>
      <w:tblPr>
        <w:tblOverlap w:val="never"/>
        <w:tblLayout w:type="fixed"/>
        <w:jc w:val="center"/>
      </w:tblPr>
      <w:tblGrid>
        <w:gridCol w:w="3691"/>
        <w:gridCol w:w="3581"/>
        <w:gridCol w:w="2952"/>
      </w:tblGrid>
      <w:tr>
        <w:trPr>
          <w:trHeight w:val="341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2"/>
              <w:framePr w:w="102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37"/>
              </w:rPr>
              <w:t>Наименование показателя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2"/>
              <w:framePr w:w="102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37"/>
              </w:rPr>
              <w:t>Норма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2"/>
              <w:framePr w:w="102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37"/>
              </w:rPr>
              <w:t>Метод испытания</w:t>
            </w:r>
          </w:p>
        </w:tc>
      </w:tr>
      <w:tr>
        <w:trPr>
          <w:trHeight w:val="132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2"/>
              <w:framePr w:w="102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00" w:right="0" w:firstLine="0"/>
            </w:pPr>
            <w:r>
              <w:rPr>
                <w:rStyle w:val="CharStyle37"/>
              </w:rPr>
              <w:t>1. Цвет пленки краски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2"/>
              <w:framePr w:w="102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312" w:lineRule="exact"/>
              <w:ind w:left="80" w:right="0" w:firstLine="0"/>
            </w:pPr>
            <w:r>
              <w:rPr>
                <w:rStyle w:val="CharStyle37"/>
              </w:rPr>
              <w:t>Должен находиться в пределах допускаемых отклонений, установленных контрольными образцами цвета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12"/>
              <w:framePr w:w="102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80" w:right="0" w:firstLine="0"/>
            </w:pPr>
            <w:r>
              <w:rPr>
                <w:rStyle w:val="CharStyle37"/>
              </w:rPr>
              <w:t>По п.3.3</w:t>
            </w:r>
          </w:p>
        </w:tc>
      </w:tr>
      <w:tr>
        <w:trPr>
          <w:trHeight w:val="331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12"/>
              <w:framePr w:w="102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37"/>
              </w:rPr>
              <w:t>2. Массовая доля пленкообразующего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12"/>
              <w:framePr w:w="102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37"/>
              </w:rPr>
              <w:t>24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pStyle w:val="Style12"/>
              <w:framePr w:w="102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80" w:right="0" w:firstLine="0"/>
            </w:pPr>
            <w:r>
              <w:rPr>
                <w:rStyle w:val="CharStyle37"/>
              </w:rPr>
              <w:t>По ГОСТ 17537-72* и п.3.4</w:t>
            </w:r>
          </w:p>
        </w:tc>
      </w:tr>
      <w:tr>
        <w:trPr>
          <w:trHeight w:val="307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12"/>
              <w:framePr w:w="102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00" w:right="0" w:firstLine="0"/>
            </w:pPr>
            <w:r>
              <w:rPr>
                <w:rStyle w:val="CharStyle37"/>
              </w:rPr>
              <w:t>вещества. %, не менее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22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12"/>
              <w:framePr w:w="102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80" w:right="0" w:firstLine="0"/>
            </w:pPr>
            <w:r>
              <w:rPr>
                <w:rStyle w:val="CharStyle37"/>
              </w:rPr>
              <w:t>настоящего стандарта</w:t>
            </w:r>
          </w:p>
        </w:tc>
      </w:tr>
      <w:tr>
        <w:trPr>
          <w:trHeight w:val="307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12"/>
              <w:framePr w:w="102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37"/>
              </w:rPr>
              <w:t>3. Массовая доля летучих веществ. %,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12"/>
              <w:framePr w:w="102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37"/>
              </w:rPr>
              <w:t>13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pStyle w:val="Style12"/>
              <w:framePr w:w="102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80" w:right="0" w:firstLine="0"/>
            </w:pPr>
            <w:r>
              <w:rPr>
                <w:rStyle w:val="CharStyle37"/>
              </w:rPr>
              <w:t>По ГОСТ 17537-72* и п.3.4а</w:t>
            </w:r>
          </w:p>
        </w:tc>
      </w:tr>
      <w:tr>
        <w:trPr>
          <w:trHeight w:val="312" w:hRule="exact"/>
        </w:trPr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12"/>
              <w:framePr w:w="102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00" w:right="0" w:firstLine="0"/>
            </w:pPr>
            <w:r>
              <w:rPr>
                <w:rStyle w:val="CharStyle37"/>
              </w:rPr>
              <w:t>не более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22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2"/>
              <w:framePr w:w="102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80" w:right="0" w:firstLine="0"/>
            </w:pPr>
            <w:r>
              <w:rPr>
                <w:rStyle w:val="CharStyle37"/>
              </w:rPr>
              <w:t>настоящего стандарта</w:t>
            </w:r>
          </w:p>
        </w:tc>
      </w:tr>
      <w:tr>
        <w:trPr>
          <w:trHeight w:val="302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12"/>
              <w:framePr w:w="102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00" w:right="0" w:firstLine="0"/>
            </w:pPr>
            <w:r>
              <w:rPr>
                <w:rStyle w:val="CharStyle37"/>
              </w:rPr>
              <w:t>4. Степень перетира. мкм. не более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12"/>
              <w:framePr w:w="102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37"/>
              </w:rPr>
              <w:t>50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pStyle w:val="Style12"/>
              <w:framePr w:w="102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37"/>
              </w:rPr>
              <w:t>По ГОСТ 6589-74**. способ Б</w:t>
            </w:r>
          </w:p>
        </w:tc>
      </w:tr>
      <w:tr>
        <w:trPr>
          <w:trHeight w:val="374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12"/>
              <w:framePr w:w="102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00" w:right="0" w:firstLine="0"/>
            </w:pPr>
            <w:r>
              <w:rPr>
                <w:rStyle w:val="CharStyle37"/>
              </w:rPr>
              <w:t>5. Укрывистость невысушенной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12"/>
              <w:framePr w:w="102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37"/>
              </w:rPr>
              <w:t>25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12"/>
              <w:framePr w:w="102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80" w:right="0" w:firstLine="0"/>
            </w:pPr>
            <w:r>
              <w:rPr>
                <w:rStyle w:val="CharStyle37"/>
              </w:rPr>
              <w:t>По ГОСТ 8784-75. разд. 1</w:t>
            </w:r>
          </w:p>
        </w:tc>
      </w:tr>
      <w:tr>
        <w:trPr>
          <w:trHeight w:val="331" w:hRule="exact"/>
        </w:trPr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12"/>
              <w:framePr w:w="102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00" w:right="0" w:firstLine="0"/>
            </w:pPr>
            <w:r>
              <w:rPr>
                <w:rStyle w:val="CharStyle37"/>
              </w:rPr>
              <w:t>пленки, г/м , не более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22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framePr w:w="1022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12"/>
              <w:framePr w:w="102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37"/>
              </w:rPr>
              <w:t>6. Время высыхания до степени 3, ч, не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22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bottom"/>
          </w:tcPr>
          <w:p>
            <w:pPr>
              <w:pStyle w:val="Style12"/>
              <w:framePr w:w="102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80" w:right="0" w:firstLine="0"/>
            </w:pPr>
            <w:r>
              <w:rPr>
                <w:rStyle w:val="CharStyle37"/>
              </w:rPr>
              <w:t>ПоГОСТ 19007-73</w:t>
            </w:r>
          </w:p>
        </w:tc>
      </w:tr>
      <w:tr>
        <w:trPr>
          <w:trHeight w:val="312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12"/>
              <w:framePr w:w="102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00" w:right="0" w:firstLine="0"/>
            </w:pPr>
            <w:r>
              <w:rPr>
                <w:rStyle w:val="CharStyle37"/>
              </w:rPr>
              <w:t>более: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22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1022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6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12"/>
              <w:framePr w:w="102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00" w:right="0" w:firstLine="0"/>
            </w:pPr>
            <w:r>
              <w:rPr>
                <w:rStyle w:val="CharStyle37"/>
              </w:rPr>
              <w:t>при температуре (20±2) °С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12"/>
              <w:framePr w:w="102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37"/>
              </w:rPr>
              <w:t>24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framePr w:w="1022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12"/>
              <w:framePr w:w="102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00" w:right="0" w:firstLine="0"/>
            </w:pPr>
            <w:r>
              <w:rPr>
                <w:rStyle w:val="CharStyle37"/>
              </w:rPr>
              <w:t>при температуре (70-2) °С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12"/>
              <w:framePr w:w="102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37"/>
              </w:rPr>
              <w:t>4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framePr w:w="1022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12"/>
              <w:framePr w:w="102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00" w:right="0" w:firstLine="0"/>
            </w:pPr>
            <w:r>
              <w:rPr>
                <w:rStyle w:val="CharStyle37"/>
              </w:rPr>
              <w:t>7. Твердость покрытия по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22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pStyle w:val="Style12"/>
              <w:framePr w:w="102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80" w:right="0" w:firstLine="0"/>
            </w:pPr>
            <w:r>
              <w:rPr>
                <w:rStyle w:val="CharStyle37"/>
              </w:rPr>
              <w:t>По ГОСТ 5233-89</w:t>
            </w:r>
          </w:p>
        </w:tc>
      </w:tr>
      <w:tr>
        <w:trPr>
          <w:trHeight w:val="312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12"/>
              <w:framePr w:w="102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00" w:right="0" w:firstLine="0"/>
            </w:pPr>
            <w:r>
              <w:rPr>
                <w:rStyle w:val="CharStyle37"/>
              </w:rPr>
              <w:t>маятниковому прибору, условные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22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1022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8" w:hRule="exact"/>
        </w:trPr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12"/>
              <w:framePr w:w="102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00" w:right="0" w:firstLine="0"/>
            </w:pPr>
            <w:r>
              <w:rPr>
                <w:rStyle w:val="CharStyle37"/>
              </w:rPr>
              <w:t>единицы, не менее: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22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framePr w:w="1022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shd w:val="clear" w:color="auto" w:fill="FFFFFF"/>
            <w:tcBorders>
              <w:left w:val="single" w:sz="4"/>
            </w:tcBorders>
            <w:vAlign w:val="center"/>
          </w:tcPr>
          <w:p>
            <w:pPr>
              <w:pStyle w:val="Style12"/>
              <w:framePr w:w="102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00" w:right="0" w:firstLine="0"/>
            </w:pPr>
            <w:r>
              <w:rPr>
                <w:rStyle w:val="CharStyle37"/>
              </w:rPr>
              <w:t>а) типа М-3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12"/>
              <w:framePr w:w="102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37"/>
              </w:rPr>
              <w:t>0,1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framePr w:w="1022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12"/>
              <w:framePr w:w="102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00" w:right="0" w:firstLine="0"/>
            </w:pPr>
            <w:r>
              <w:rPr>
                <w:rStyle w:val="CharStyle37"/>
              </w:rPr>
              <w:t>б) типа ТМЛ (маятник В)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12"/>
              <w:framePr w:w="102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37"/>
              </w:rPr>
              <w:t>0,05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framePr w:w="1022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shd w:val="clear" w:color="auto" w:fill="FFFFFF"/>
            <w:tcBorders>
              <w:left w:val="single" w:sz="4"/>
            </w:tcBorders>
            <w:vAlign w:val="center"/>
          </w:tcPr>
          <w:p>
            <w:pPr>
              <w:pStyle w:val="Style12"/>
              <w:framePr w:w="102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00" w:right="0" w:firstLine="0"/>
            </w:pPr>
            <w:r>
              <w:rPr>
                <w:rStyle w:val="CharStyle37"/>
              </w:rPr>
              <w:t>8. Эластичность пленки при изгибе.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center"/>
          </w:tcPr>
          <w:p>
            <w:pPr>
              <w:pStyle w:val="Style12"/>
              <w:framePr w:w="102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37"/>
              </w:rPr>
              <w:t>1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center"/>
          </w:tcPr>
          <w:p>
            <w:pPr>
              <w:pStyle w:val="Style12"/>
              <w:framePr w:w="102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80" w:right="0" w:firstLine="0"/>
            </w:pPr>
            <w:r>
              <w:rPr>
                <w:rStyle w:val="CharStyle37"/>
              </w:rPr>
              <w:t>По ГОСТ 6806-73</w:t>
            </w:r>
          </w:p>
        </w:tc>
      </w:tr>
      <w:tr>
        <w:trPr>
          <w:trHeight w:val="312" w:hRule="exact"/>
        </w:trPr>
        <w:tc>
          <w:tcPr>
            <w:shd w:val="clear" w:color="auto" w:fill="FFFFFF"/>
            <w:tcBorders>
              <w:left w:val="single" w:sz="4"/>
              <w:bottom w:val="single" w:sz="4"/>
            </w:tcBorders>
            <w:vAlign w:val="top"/>
          </w:tcPr>
          <w:p>
            <w:pPr>
              <w:pStyle w:val="Style12"/>
              <w:framePr w:w="102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00" w:right="0" w:firstLine="0"/>
            </w:pPr>
            <w:r>
              <w:rPr>
                <w:rStyle w:val="CharStyle37"/>
              </w:rPr>
              <w:t>мм. не более</w:t>
            </w:r>
          </w:p>
        </w:tc>
        <w:tc>
          <w:tcPr>
            <w:shd w:val="clear" w:color="auto" w:fill="FFFFFF"/>
            <w:tcBorders>
              <w:left w:val="single" w:sz="4"/>
              <w:bottom w:val="single" w:sz="4"/>
            </w:tcBorders>
            <w:vAlign w:val="top"/>
          </w:tcPr>
          <w:p>
            <w:pPr>
              <w:framePr w:w="1022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framePr w:w="1022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222" w:after="0" w:line="269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Соответственно требования установленные Заказчиком могут быть определены только при наличии товара и проведя лабараторные и иные испытания.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Также Заказчиком по показателю «Массовая доля пленкообразующего вещества» </w:t>
      </w:r>
      <w:r>
        <w:rPr>
          <w:rStyle w:val="CharStyle28"/>
        </w:rPr>
        <w:t xml:space="preserve">минимальное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значение «должна быть </w:t>
      </w:r>
      <w:r>
        <w:rPr>
          <w:rStyle w:val="CharStyle28"/>
        </w:rPr>
        <w:t xml:space="preserve">не менее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24» установлено в «требованиях к значениям показателей (характеристик), тип 2», когда согласно инструкции установлено, что ко второму типу относятся </w:t>
      </w:r>
      <w:r>
        <w:rPr>
          <w:rStyle w:val="CharStyle28"/>
        </w:rPr>
        <w:t xml:space="preserve">максимальные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значения показателей.</w:t>
      </w:r>
    </w:p>
    <w:tbl>
      <w:tblPr>
        <w:tblOverlap w:val="never"/>
        <w:tblLayout w:type="fixed"/>
        <w:jc w:val="center"/>
      </w:tblPr>
      <w:tblGrid>
        <w:gridCol w:w="2947"/>
        <w:gridCol w:w="3614"/>
        <w:gridCol w:w="3634"/>
      </w:tblGrid>
      <w:tr>
        <w:trPr>
          <w:trHeight w:val="31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2"/>
              <w:framePr w:w="1019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10" w:lineRule="exact"/>
              <w:ind w:left="40" w:right="0" w:firstLine="0"/>
            </w:pPr>
            <w:r>
              <w:rPr>
                <w:rStyle w:val="CharStyle38"/>
              </w:rPr>
              <w:t>Мл с с овал доля алеетообразутошето вещества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2"/>
              <w:framePr w:w="1019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44" w:lineRule="exact"/>
              <w:ind w:left="0" w:right="0" w:firstLine="0"/>
            </w:pPr>
            <w:r>
              <w:rPr>
                <w:rStyle w:val="CharStyle38"/>
              </w:rPr>
              <w:t xml:space="preserve">требование к показателю (характеристике) товара по данному типу </w:t>
            </w:r>
            <w:r>
              <w:rPr>
                <w:rStyle w:val="CharStyle39"/>
              </w:rPr>
              <w:t xml:space="preserve">ш </w:t>
            </w:r>
            <w:r>
              <w:rPr>
                <w:rStyle w:val="CharStyle38"/>
              </w:rPr>
              <w:t>предъявляется</w:t>
            </w:r>
          </w:p>
        </w:tc>
        <w:tc>
          <w:tcPr>
            <w:shd w:val="clear" w:color="auto" w:fill="FFFFFF"/>
            <w:tcBorders>
              <w:right w:val="single" w:sz="4"/>
              <w:top w:val="single" w:sz="4"/>
            </w:tcBorders>
            <w:vAlign w:val="center"/>
          </w:tcPr>
          <w:p>
            <w:pPr>
              <w:pStyle w:val="Style12"/>
              <w:framePr w:w="1019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10" w:lineRule="exact"/>
              <w:ind w:left="0" w:right="0" w:firstLine="0"/>
            </w:pPr>
            <w:r>
              <w:rPr>
                <w:rStyle w:val="CharStyle38"/>
              </w:rPr>
              <w:t>лолжма быть и? ьгеяее 24</w:t>
            </w:r>
          </w:p>
        </w:tc>
      </w:tr>
      <w:tr>
        <w:trPr>
          <w:trHeight w:val="322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2"/>
              <w:framePr w:w="1019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10" w:lineRule="exact"/>
              <w:ind w:left="40" w:right="0" w:firstLine="0"/>
            </w:pPr>
            <w:r>
              <w:rPr>
                <w:rStyle w:val="CharStyle38"/>
              </w:rPr>
              <w:t>Массовая доля летучих веществ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12"/>
              <w:framePr w:w="1019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34" w:lineRule="exact"/>
              <w:ind w:left="0" w:right="0" w:firstLine="0"/>
            </w:pPr>
            <w:r>
              <w:rPr>
                <w:rStyle w:val="CharStyle38"/>
              </w:rPr>
              <w:t>требование ь показателю (характеристике.} товара по данному пшч не предъявляется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2"/>
              <w:framePr w:w="1019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10" w:lineRule="exact"/>
              <w:ind w:left="0" w:right="0" w:firstLine="0"/>
            </w:pPr>
            <w:r>
              <w:rPr>
                <w:rStyle w:val="CharStyle38"/>
              </w:rPr>
              <w:t>должна быть не более 13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259" w:line="312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Данное обстоятельство вводит в заблуждение потенциальных участников Закупки, что в </w:t>
      </w:r>
      <w:r>
        <w:rPr>
          <w:rStyle w:val="CharStyle40"/>
        </w:rPr>
        <w:t>последствии может послужить основанием для недопуска к участию в аукционе.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248" w:line="288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Действия заказчика нарушают положения пункта 1 части 1 и части 2 статьи 33, пункта 1 части 1 статьи 64, части 4 статьи 65 ФЗ № 44-ФЗ.</w:t>
      </w:r>
    </w:p>
    <w:p>
      <w:pPr>
        <w:pStyle w:val="Style41"/>
        <w:widowControl w:val="0"/>
        <w:keepNext w:val="0"/>
        <w:keepLines w:val="0"/>
        <w:shd w:val="clear" w:color="auto" w:fill="auto"/>
        <w:bidi w:val="0"/>
        <w:spacing w:before="0" w:after="0"/>
        <w:ind w:left="40" w:right="40" w:firstLine="700"/>
      </w:pPr>
      <w:r>
        <w:rPr>
          <w:rStyle w:val="CharStyle43"/>
          <w:i w:val="0"/>
          <w:iCs w:val="0"/>
        </w:rPr>
        <w:t xml:space="preserve">В Письме ФАС России от 01.07.2016г. № ИА/44536/16 «Об установлении заказчиком </w:t>
      </w:r>
      <w:r>
        <w:rPr>
          <w:rStyle w:val="CharStyle44"/>
          <w:i w:val="0"/>
          <w:iCs w:val="0"/>
        </w:rPr>
        <w:t xml:space="preserve">требований к составу, инструкции по заполнению заявки на участие в закупке», а именно в части 1 указано: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«В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заявок, в которой, по мнению ФАС России, целесообразно:</w:t>
      </w:r>
    </w:p>
    <w:p>
      <w:pPr>
        <w:pStyle w:val="Style41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указать на раздел и (или) пункт документации о закупке, в котором содержатся показатели, предусмотренные частью 2 статьи 33 Закона о контрактной системе, в отношении которых участники закупки делают предложение в своих заявках:</w:t>
      </w:r>
    </w:p>
    <w:p>
      <w:pPr>
        <w:pStyle w:val="Style41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определить. в отношении каких именно показателей заказчиком установлены максимальные и (или) минимальные значения, а также порядок их указания участниками закупки в своих заявках (в виде одного значения показателя или диапазона значений показателя):</w:t>
      </w:r>
    </w:p>
    <w:p>
      <w:pPr>
        <w:pStyle w:val="Style41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определить, в отношении каких именно показателей заказчиком установлены значения, которые не могут изменяться, и соответственно подлежат указанию участниками закупки в своих заявках без каких-либо изменений:</w:t>
      </w:r>
    </w:p>
    <w:p>
      <w:pPr>
        <w:pStyle w:val="Style41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сопоставить требования технических регламентов, стандартов и иных документов, предусмотренных законодательством Российской Федерации о техническом регулировании (далее - Стандарты). с показателями, значения которых подлежат указанию в заявке (в случае установления заказчиком в документации о закупке требования о соответствии таких показателей значениям, установленным Стандартами).</w:t>
      </w:r>
    </w:p>
    <w:p>
      <w:pPr>
        <w:pStyle w:val="Style45"/>
        <w:widowControl w:val="0"/>
        <w:keepNext w:val="0"/>
        <w:keepLines w:val="0"/>
        <w:shd w:val="clear" w:color="auto" w:fill="auto"/>
        <w:bidi w:val="0"/>
        <w:spacing w:before="0" w:after="0"/>
        <w:ind w:left="40" w:right="40"/>
      </w:pPr>
      <w:r>
        <w:rPr>
          <w:rStyle w:val="CharStyle47"/>
          <w:b/>
          <w:bCs/>
          <w:i w:val="0"/>
          <w:iCs w:val="0"/>
        </w:rPr>
        <w:t xml:space="preserve">Часть 3 </w:t>
      </w:r>
      <w:r>
        <w:rPr>
          <w:lang w:val="ru-RU" w:eastAsia="ru-RU" w:bidi="ru-RU"/>
          <w:w w:val="100"/>
          <w:spacing w:val="0"/>
          <w:color w:val="000000"/>
          <w:position w:val="0"/>
        </w:rPr>
        <w:t>«при установлении заказчиком в документации, извещении о закупке требований к описанию участниками закупки товаров следует учесть, что Закон о контрактной системе не обязывает участника закупки иметь в наличии товар в момент подачи заявки, в связи с чем требования заказчика подробно описать в заявке (путем предоставления показателей и (или) их значений, как в виде одного значения, диапазона значений, так и сохранения неизменного значения) химический состав и (или) компоненты товара, и (или) показатели технологии производства, испытания товара, и (или) показатели, значения которых становятся известными при испытании определенной партии товара после его производства, имеют признаки ограничения доступа к участию в закупке».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Участником закупки может быть любое юридическое лицо независимо от его организационно-правовой формы, формы собственности, места нахождения и места происхождения капитала или любое физическое лицо, в том числе зарегистрированное в качестве индивидуального предпринимателя.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240" w:line="274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Обязанность производителей доводить до сведения неограниченного круга лиц конкретных характеристик материалов, таких как химический состав и подобных, используемых при производстве определенного товара, не закреплена действующим законодательством. </w:t>
      </w:r>
      <w:r>
        <w:rPr>
          <w:rStyle w:val="CharStyle33"/>
        </w:rPr>
        <w:t>Многие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33"/>
        </w:rPr>
        <w:t>показатели определяются по результатам испытаний.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248" w:line="274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Подобные избыточные (необъективные) требования Заказчиком установлены и по поз. 5, 7, 8, 9, 11, 12 и т.д., значения которых могут быть определены только имея товар в наличии и проведя лабараторные и иные испытания.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275" w:line="264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требования установленные заказчиком в сведениях о материалах аукционной документации нарушают требования п.1), п.2) ч.1 ст.ЗЗ, п.1), п.2) ч.1 ст.64 Закона о контрактной системе.</w:t>
      </w:r>
    </w:p>
    <w:p>
      <w:pPr>
        <w:pStyle w:val="Style48"/>
        <w:numPr>
          <w:ilvl w:val="0"/>
          <w:numId w:val="1"/>
        </w:numPr>
        <w:tabs>
          <w:tab w:leader="none" w:pos="1105" w:val="left"/>
        </w:tabs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4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Доводы жалобы: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68" w:line="283" w:lineRule="exact"/>
        <w:ind w:left="40" w:right="18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Предметом контракта не является изготовление товаров. Изготовитель является лицом, ответственным за качество выпускаемой продукции и гарантирующим их соответствие ГОСТ. Закон о контрактной системе не обязывает участника закупки при подаче заявки иметь в наличии товар, необходимый в процессе выполнения работ, оказания услуг, а также не обязывает производителей доводить до сведения неопределенного круга лиц конкретные характеристики материала, товара. Вполне очевидно, что Заказчик после выполненных работ не сможет немедленно проверить достоверность представленных в заявке значений по требуемым характеристикам. В связи с чем, подобные требования документации создают ситуацию, при которой приоритет имеет формальное заполнение заявки, а не достоверность сведений и (или) информации, указанной в заявках.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60" w:line="274" w:lineRule="exact"/>
        <w:ind w:left="40" w:right="18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Недопущение установления избыточных требований Заказчиком также указано в письме ФАС России от 1 июля 2016 года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ИА/44536/16 и данный факт подтвеждает многочисленная практика решений ФАС и судов, указывающая на нарушение Закона о контрактной системе №44- ФЗ </w:t>
      </w:r>
      <w:r>
        <w:rPr>
          <w:rStyle w:val="CharStyle28"/>
        </w:rPr>
        <w:t xml:space="preserve">(Решение Краснодарское УФАС России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делу № ЭА-1104/2017 </w:t>
      </w:r>
      <w:r>
        <w:rPr>
          <w:rStyle w:val="CharStyle28"/>
        </w:rPr>
        <w:t xml:space="preserve">от 02,06.2017 г., Краснодарское УФАС России по делу №ЭА - 345/2017 от 23.03.2017 г.,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Краснодарское УФАС России по делу №ЭА - 1565/2016 от 21.10.2016 г., Краснодарское УФАС России по делу № ЭА - 565/2016 06.05.2016 г.. Краснодарское УФАС России по делу № ЭА - 49/2016 от 02.02.2016 г., Краснодарское УФАС России по делу № ЭА - 1132/2016 19.08.2016 г., Саратовское УФАС России № 338-15/гз от 01.10.2015 г., Воронежское УФАС России №151-з от 22.04.2016 г., Крымское УФАС России №06/294-16 от 15.03.2016 г. и т.д.).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Требование к указанию участником закупки в составе заявок конкретных показателей материалов, используемых при производстве товаров, необходимых к применению при выполнении работ, являющихся объектом закупки, нарушает требования ч.1 ст.ЗЗ Закона о контрактной системе.</w:t>
      </w:r>
    </w:p>
    <w:p>
      <w:pPr>
        <w:pStyle w:val="Style12"/>
        <w:tabs>
          <w:tab w:leader="none" w:pos="472" w:val="left"/>
          <w:tab w:leader="none" w:pos="2027" w:val="center"/>
          <w:tab w:leader="none" w:pos="6080" w:val="right"/>
          <w:tab w:leader="none" w:pos="768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документация об электронном аукционе составлена с нарушениями Закона о</w:t>
        <w:tab/>
        <w:t>контрактной</w:t>
        <w:tab/>
        <w:t>системы, что содержит</w:t>
        <w:tab/>
        <w:t>признаки</w:t>
        <w:tab/>
        <w:t>административного правонарушения,</w:t>
      </w:r>
    </w:p>
    <w:p>
      <w:pPr>
        <w:pStyle w:val="Style12"/>
        <w:tabs>
          <w:tab w:leader="none" w:pos="2080" w:val="left"/>
          <w:tab w:leader="none" w:pos="6080" w:val="right"/>
          <w:tab w:leader="none" w:pos="7683" w:val="right"/>
          <w:tab w:leader="none" w:pos="1034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предусмотренного</w:t>
        <w:tab/>
        <w:t>ч.4.2 ст.7.30 Кодекса</w:t>
        <w:tab/>
        <w:t>Российской</w:t>
        <w:tab/>
        <w:t>Федерации</w:t>
        <w:tab/>
        <w:t>об административных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правонарушениях.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283" w:line="274" w:lineRule="exact"/>
        <w:ind w:left="4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Федеральном законом от 05 апреля 2013 г. №44-ФЗ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51"/>
        <w:widowControl w:val="0"/>
        <w:keepNext/>
        <w:keepLines/>
        <w:shd w:val="clear" w:color="auto" w:fill="auto"/>
        <w:bidi w:val="0"/>
        <w:spacing w:before="0" w:after="279" w:line="220" w:lineRule="exact"/>
        <w:ind w:left="0" w:right="2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ПРОШУ:</w:t>
      </w:r>
      <w:bookmarkEnd w:id="1"/>
    </w:p>
    <w:p>
      <w:pPr>
        <w:pStyle w:val="Style12"/>
        <w:numPr>
          <w:ilvl w:val="0"/>
          <w:numId w:val="7"/>
        </w:numPr>
        <w:tabs>
          <w:tab w:leader="none" w:pos="472" w:val="left"/>
          <w:tab w:leader="none" w:pos="2148" w:val="left"/>
          <w:tab w:leader="none" w:pos="6134" w:val="left"/>
          <w:tab w:leader="none" w:pos="10346" w:val="right"/>
          <w:tab w:leader="none" w:pos="1033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</w:t>
        <w:tab/>
        <w:t>с частью 7 статьи 106 44-ФЗ Закон</w:t>
        <w:tab/>
        <w:t>о</w:t>
        <w:tab/>
        <w:t>контрактной</w:t>
        <w:tab/>
        <w:t>системе от 05.04.2013 г.</w:t>
      </w:r>
    </w:p>
    <w:p>
      <w:pPr>
        <w:pStyle w:val="Style12"/>
        <w:tabs>
          <w:tab w:leader="none" w:pos="2080" w:val="left"/>
          <w:tab w:leader="none" w:pos="6080" w:val="right"/>
          <w:tab w:leader="none" w:pos="6223" w:val="left"/>
          <w:tab w:leader="none" w:pos="1034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4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приостановить</w:t>
        <w:tab/>
        <w:t>процедуру размещения</w:t>
        <w:tab/>
        <w:t>заказа по</w:t>
        <w:tab/>
        <w:t>аукциону в</w:t>
        <w:tab/>
        <w:t>электронной форме до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4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рассмотрения настоящей жалобы по существу;</w:t>
      </w:r>
    </w:p>
    <w:p>
      <w:pPr>
        <w:pStyle w:val="Style12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действия Заказчика нарушающими 44-ФЗ Закона от 05.04.2013 г.;</w:t>
      </w:r>
    </w:p>
    <w:p>
      <w:pPr>
        <w:pStyle w:val="Style12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399" w:line="269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Выдать соответствующее предписание об устранении нарушений законодательства РФ.</w:t>
      </w:r>
    </w:p>
    <w:p>
      <w:pPr>
        <w:pStyle w:val="Style51"/>
        <w:numPr>
          <w:ilvl w:val="0"/>
          <w:numId w:val="1"/>
        </w:numPr>
        <w:tabs>
          <w:tab w:leader="none" w:pos="1192" w:val="left"/>
        </w:tabs>
        <w:widowControl w:val="0"/>
        <w:keepNext/>
        <w:keepLines/>
        <w:shd w:val="clear" w:color="auto" w:fill="auto"/>
        <w:bidi w:val="0"/>
        <w:jc w:val="both"/>
        <w:spacing w:before="0" w:after="135" w:line="220" w:lineRule="exact"/>
        <w:ind w:left="40" w:right="0" w:firstLine="720"/>
      </w:pPr>
      <w:bookmarkStart w:id="2" w:name="bookmark2"/>
      <w:r>
        <w:rPr>
          <w:lang w:val="ru-RU" w:eastAsia="ru-RU" w:bidi="ru-RU"/>
          <w:w w:val="100"/>
          <w:spacing w:val="0"/>
          <w:color w:val="000000"/>
          <w:position w:val="0"/>
        </w:rPr>
        <w:t>Приложения:</w:t>
      </w:r>
      <w:bookmarkEnd w:id="2"/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742" w:line="220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- копия паспорта.</w:t>
      </w:r>
    </w:p>
    <w:p>
      <w:pPr>
        <w:pStyle w:val="Style12"/>
        <w:tabs>
          <w:tab w:leader="none" w:pos="884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567" w:line="22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Индивидуальный предприниматель</w:t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>P.M.</w:t>
      </w:r>
      <w:r>
        <w:rPr>
          <w:lang w:val="ru-RU" w:eastAsia="ru-RU" w:bidi="ru-RU"/>
          <w:w w:val="100"/>
          <w:spacing w:val="0"/>
          <w:color w:val="000000"/>
          <w:position w:val="0"/>
        </w:rPr>
        <w:t>Хаджироков</w:t>
      </w:r>
    </w:p>
    <w:p>
      <w:pPr>
        <w:pStyle w:val="Style41"/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Настоящая жалоба отправлена в ФАС по электронной почте и подписана ЭЦП.</w:t>
      </w:r>
    </w:p>
    <w:sectPr>
      <w:pgSz w:w="16838" w:h="23810"/>
      <w:pgMar w:top="4437" w:left="3244" w:right="3220" w:bottom="4408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/>
        <w:iCs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 (4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11">
    <w:name w:val="Основной текст (4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Основной текст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5">
    <w:name w:val="Основной текст (5)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7">
    <w:name w:val="Основной текст (6)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20"/>
      <w:szCs w:val="20"/>
      <w:rFonts w:ascii="Corbel" w:eastAsia="Corbel" w:hAnsi="Corbel" w:cs="Corbel"/>
    </w:rPr>
  </w:style>
  <w:style w:type="character" w:customStyle="1" w:styleId="CharStyle18">
    <w:name w:val="Основной текст (6)"/>
    <w:basedOn w:val="CharStyle1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9">
    <w:name w:val="Основной текст (5) + Курсив"/>
    <w:basedOn w:val="CharStyle15"/>
    <w:rPr>
      <w:lang w:val="en-US" w:eastAsia="en-US" w:bidi="en-US"/>
      <w:i/>
      <w:iCs/>
      <w:w w:val="100"/>
      <w:spacing w:val="0"/>
      <w:color w:val="000000"/>
      <w:position w:val="0"/>
    </w:rPr>
  </w:style>
  <w:style w:type="character" w:customStyle="1" w:styleId="CharStyle21">
    <w:name w:val="Заголовок №1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70"/>
    </w:rPr>
  </w:style>
  <w:style w:type="character" w:customStyle="1" w:styleId="CharStyle22">
    <w:name w:val="Основной текст (5) + 11 pt"/>
    <w:basedOn w:val="CharStyle15"/>
    <w:rPr>
      <w:lang w:val="ru-RU" w:eastAsia="ru-RU" w:bidi="ru-RU"/>
      <w:sz w:val="22"/>
      <w:szCs w:val="22"/>
      <w:w w:val="100"/>
      <w:spacing w:val="0"/>
      <w:color w:val="000000"/>
      <w:position w:val="0"/>
    </w:rPr>
  </w:style>
  <w:style w:type="character" w:customStyle="1" w:styleId="CharStyle23">
    <w:name w:val="Основной текст (5)"/>
    <w:basedOn w:val="CharStyle15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5">
    <w:name w:val="Основной текст (7)_"/>
    <w:basedOn w:val="DefaultParagraphFont"/>
    <w:link w:val="Style24"/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6">
    <w:name w:val="Основной текст (5)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0"/>
    </w:rPr>
  </w:style>
  <w:style w:type="character" w:customStyle="1" w:styleId="CharStyle27">
    <w:name w:val="Основной текст Exact"/>
    <w:basedOn w:val="DefaultParagraphFont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4"/>
    </w:rPr>
  </w:style>
  <w:style w:type="character" w:customStyle="1" w:styleId="CharStyle28">
    <w:name w:val="Основной текст + Полужирный"/>
    <w:basedOn w:val="CharStyle13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30">
    <w:name w:val="Основной текст (8)_"/>
    <w:basedOn w:val="DefaultParagraphFont"/>
    <w:link w:val="Style29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31">
    <w:name w:val="Основной текст (8) + 11 pt,Полужирный"/>
    <w:basedOn w:val="CharStyle30"/>
    <w:rPr>
      <w:lang w:val="ru-RU" w:eastAsia="ru-RU" w:bidi="ru-RU"/>
      <w:b/>
      <w:bCs/>
      <w:sz w:val="22"/>
      <w:szCs w:val="22"/>
      <w:w w:val="100"/>
      <w:spacing w:val="0"/>
      <w:color w:val="000000"/>
      <w:position w:val="0"/>
    </w:rPr>
  </w:style>
  <w:style w:type="character" w:customStyle="1" w:styleId="CharStyle32">
    <w:name w:val="Основной текст (8) + 11 pt"/>
    <w:basedOn w:val="CharStyle30"/>
    <w:rPr>
      <w:lang w:val="ru-RU" w:eastAsia="ru-RU" w:bidi="ru-RU"/>
      <w:sz w:val="22"/>
      <w:szCs w:val="22"/>
      <w:w w:val="100"/>
      <w:spacing w:val="0"/>
      <w:color w:val="000000"/>
      <w:position w:val="0"/>
    </w:rPr>
  </w:style>
  <w:style w:type="character" w:customStyle="1" w:styleId="CharStyle33">
    <w:name w:val="Основной текст"/>
    <w:basedOn w:val="CharStyle13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34">
    <w:name w:val="Основной текст (3) + Не полужирный"/>
    <w:basedOn w:val="CharStyle7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36">
    <w:name w:val="Подпись к таблице_"/>
    <w:basedOn w:val="DefaultParagraphFont"/>
    <w:link w:val="Style35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37">
    <w:name w:val="Основной текст + 9,5 pt"/>
    <w:basedOn w:val="CharStyle13"/>
    <w:rPr>
      <w:lang w:val="ru-RU" w:eastAsia="ru-RU" w:bidi="ru-RU"/>
      <w:sz w:val="19"/>
      <w:szCs w:val="19"/>
      <w:w w:val="100"/>
      <w:spacing w:val="0"/>
      <w:color w:val="000000"/>
      <w:position w:val="0"/>
    </w:rPr>
  </w:style>
  <w:style w:type="character" w:customStyle="1" w:styleId="CharStyle38">
    <w:name w:val="Основной текст + 5,5 pt"/>
    <w:basedOn w:val="CharStyle13"/>
    <w:rPr>
      <w:lang w:val="ru-RU" w:eastAsia="ru-RU" w:bidi="ru-RU"/>
      <w:sz w:val="11"/>
      <w:szCs w:val="11"/>
      <w:w w:val="100"/>
      <w:spacing w:val="0"/>
      <w:color w:val="000000"/>
      <w:position w:val="0"/>
    </w:rPr>
  </w:style>
  <w:style w:type="character" w:customStyle="1" w:styleId="CharStyle39">
    <w:name w:val="Основной текст + 5,5 pt,Курсив"/>
    <w:basedOn w:val="CharStyle13"/>
    <w:rPr>
      <w:lang w:val="ru-RU" w:eastAsia="ru-RU" w:bidi="ru-RU"/>
      <w:i/>
      <w:iCs/>
      <w:sz w:val="11"/>
      <w:szCs w:val="11"/>
      <w:w w:val="100"/>
      <w:spacing w:val="0"/>
      <w:color w:val="000000"/>
      <w:position w:val="0"/>
    </w:rPr>
  </w:style>
  <w:style w:type="character" w:customStyle="1" w:styleId="CharStyle40">
    <w:name w:val="Основной текст + 13 pt"/>
    <w:basedOn w:val="CharStyle13"/>
    <w:rPr>
      <w:lang w:val="ru-RU" w:eastAsia="ru-RU" w:bidi="ru-RU"/>
      <w:sz w:val="26"/>
      <w:szCs w:val="26"/>
      <w:w w:val="100"/>
      <w:spacing w:val="0"/>
      <w:color w:val="000000"/>
      <w:position w:val="0"/>
    </w:rPr>
  </w:style>
  <w:style w:type="character" w:customStyle="1" w:styleId="CharStyle42">
    <w:name w:val="Основной текст (9)_"/>
    <w:basedOn w:val="DefaultParagraphFont"/>
    <w:link w:val="Style41"/>
    <w:rPr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43">
    <w:name w:val="Основной текст (9) + 13 pt,Не курсив"/>
    <w:basedOn w:val="CharStyle42"/>
    <w:rPr>
      <w:lang w:val="ru-RU" w:eastAsia="ru-RU" w:bidi="ru-RU"/>
      <w:i/>
      <w:iCs/>
      <w:sz w:val="26"/>
      <w:szCs w:val="26"/>
      <w:w w:val="100"/>
      <w:spacing w:val="0"/>
      <w:color w:val="000000"/>
      <w:position w:val="0"/>
    </w:rPr>
  </w:style>
  <w:style w:type="character" w:customStyle="1" w:styleId="CharStyle44">
    <w:name w:val="Основной текст (9) + Не курсив"/>
    <w:basedOn w:val="CharStyle42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46">
    <w:name w:val="Основной текст (10)_"/>
    <w:basedOn w:val="DefaultParagraphFont"/>
    <w:link w:val="Style45"/>
    <w:rPr>
      <w:b/>
      <w:bCs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47">
    <w:name w:val="Основной текст (10) + Не курсив"/>
    <w:basedOn w:val="CharStyle46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49">
    <w:name w:val="Основной текст (11)_"/>
    <w:basedOn w:val="DefaultParagraphFont"/>
    <w:link w:val="Style48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50">
    <w:name w:val="Основной текст (11) + 11 pt"/>
    <w:basedOn w:val="CharStyle49"/>
    <w:rPr>
      <w:lang w:val="ru-RU" w:eastAsia="ru-RU" w:bidi="ru-RU"/>
      <w:sz w:val="22"/>
      <w:szCs w:val="22"/>
      <w:w w:val="100"/>
      <w:spacing w:val="0"/>
      <w:color w:val="000000"/>
      <w:position w:val="0"/>
    </w:rPr>
  </w:style>
  <w:style w:type="character" w:customStyle="1" w:styleId="CharStyle52">
    <w:name w:val="Заголовок №2_"/>
    <w:basedOn w:val="DefaultParagraphFont"/>
    <w:link w:val="Style51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4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80" w:line="302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jc w:val="center"/>
      <w:spacing w:after="180" w:line="192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FFFFFF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4">
    <w:name w:val="Основной текст (5)"/>
    <w:basedOn w:val="Normal"/>
    <w:link w:val="CharStyle15"/>
    <w:pPr>
      <w:widowControl w:val="0"/>
      <w:shd w:val="clear" w:color="auto" w:fill="FFFFFF"/>
      <w:spacing w:before="60" w:after="240" w:line="341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6">
    <w:name w:val="Основной текст (6)"/>
    <w:basedOn w:val="Normal"/>
    <w:link w:val="CharStyle17"/>
    <w:pPr>
      <w:widowControl w:val="0"/>
      <w:shd w:val="clear" w:color="auto" w:fill="FFFFFF"/>
      <w:spacing w:after="60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Corbel" w:eastAsia="Corbel" w:hAnsi="Corbel" w:cs="Corbel"/>
    </w:rPr>
  </w:style>
  <w:style w:type="paragraph" w:customStyle="1" w:styleId="Style20">
    <w:name w:val="Заголовок №1"/>
    <w:basedOn w:val="Normal"/>
    <w:link w:val="CharStyle21"/>
    <w:pPr>
      <w:widowControl w:val="0"/>
      <w:shd w:val="clear" w:color="auto" w:fill="FFFFFF"/>
      <w:jc w:val="right"/>
      <w:outlineLvl w:val="0"/>
      <w:spacing w:before="60" w:line="0" w:lineRule="exact"/>
    </w:pPr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70"/>
    </w:rPr>
  </w:style>
  <w:style w:type="paragraph" w:customStyle="1" w:styleId="Style24">
    <w:name w:val="Основной текст (7)"/>
    <w:basedOn w:val="Normal"/>
    <w:link w:val="CharStyle25"/>
    <w:pPr>
      <w:widowControl w:val="0"/>
      <w:shd w:val="clear" w:color="auto" w:fill="FFFFFF"/>
      <w:jc w:val="both"/>
      <w:spacing w:before="420" w:line="322" w:lineRule="exact"/>
      <w:ind w:firstLine="700"/>
    </w:pPr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9">
    <w:name w:val="Основной текст (8)"/>
    <w:basedOn w:val="Normal"/>
    <w:link w:val="CharStyle30"/>
    <w:pPr>
      <w:widowControl w:val="0"/>
      <w:shd w:val="clear" w:color="auto" w:fill="FFFFFF"/>
      <w:jc w:val="right"/>
      <w:spacing w:line="264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35">
    <w:name w:val="Подпись к таблице"/>
    <w:basedOn w:val="Normal"/>
    <w:link w:val="CharStyle36"/>
    <w:pPr>
      <w:widowControl w:val="0"/>
      <w:shd w:val="clear" w:color="auto" w:fill="FFFFFF"/>
      <w:spacing w:line="264" w:lineRule="exact"/>
      <w:ind w:firstLine="720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41">
    <w:name w:val="Основной текст (9)"/>
    <w:basedOn w:val="Normal"/>
    <w:link w:val="CharStyle42"/>
    <w:pPr>
      <w:widowControl w:val="0"/>
      <w:shd w:val="clear" w:color="auto" w:fill="FFFFFF"/>
      <w:jc w:val="both"/>
      <w:spacing w:before="240" w:line="278" w:lineRule="exact"/>
    </w:pPr>
    <w:rPr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45">
    <w:name w:val="Основной текст (10)"/>
    <w:basedOn w:val="Normal"/>
    <w:link w:val="CharStyle46"/>
    <w:pPr>
      <w:widowControl w:val="0"/>
      <w:shd w:val="clear" w:color="auto" w:fill="FFFFFF"/>
      <w:jc w:val="both"/>
      <w:spacing w:line="274" w:lineRule="exact"/>
      <w:ind w:firstLine="700"/>
    </w:pPr>
    <w:rPr>
      <w:b/>
      <w:bCs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48">
    <w:name w:val="Основной текст (11)"/>
    <w:basedOn w:val="Normal"/>
    <w:link w:val="CharStyle49"/>
    <w:pPr>
      <w:widowControl w:val="0"/>
      <w:shd w:val="clear" w:color="auto" w:fill="FFFFFF"/>
      <w:jc w:val="both"/>
      <w:spacing w:before="240" w:line="0" w:lineRule="exact"/>
      <w:ind w:firstLine="700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1">
    <w:name w:val="Заголовок №2"/>
    <w:basedOn w:val="Normal"/>
    <w:link w:val="CharStyle52"/>
    <w:pPr>
      <w:widowControl w:val="0"/>
      <w:shd w:val="clear" w:color="auto" w:fill="FFFFFF"/>
      <w:jc w:val="center"/>
      <w:outlineLvl w:val="1"/>
      <w:spacing w:before="240" w:after="360"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