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11" w:wrap="around" w:vAnchor="text" w:hAnchor="margin" w:x="4387" w:y="28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</w:rPr>
        <w:t>У</w:t>
      </w:r>
      <w:r>
        <w:rPr>
          <w:rStyle w:val="CharStyle6"/>
          <w:spacing w:val="-20"/>
        </w:rPr>
        <w:t xml:space="preserve"> ут</w:t>
      </w:r>
    </w:p>
    <w:p>
      <w:pPr>
        <w:widowControl w:val="0"/>
        <w:rPr>
          <w:sz w:val="2"/>
          <w:szCs w:val="2"/>
        </w:r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72"/>
        <w:ind w:left="0" w:right="0" w:firstLine="0"/>
      </w:pPr>
      <w:r>
        <w:rPr>
          <w:rStyle w:val="CharStyle9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45" w:line="264" w:lineRule="exact"/>
        <w:ind w:left="0" w:right="0" w:firstLine="0"/>
      </w:pPr>
      <w:r>
        <w:rPr>
          <w:rStyle w:val="CharStyle9"/>
        </w:rPr>
        <w:t xml:space="preserve">УПРАВЛЕНИЕ </w:t>
      </w:r>
      <w:r>
        <w:rPr>
          <w:rStyle w:val="CharStyle10"/>
        </w:rPr>
        <w:t xml:space="preserve">Федеральной антимонопольной </w:t>
      </w:r>
      <w:r>
        <w:rPr>
          <w:rStyle w:val="CharStyle9"/>
        </w:rPr>
        <w:t>службы по Республике Татарстан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98"/>
        <w:ind w:left="0" w:right="0" w:firstLine="0"/>
      </w:pPr>
      <w:r>
        <w:rPr>
          <w:rStyle w:val="CharStyle13"/>
        </w:rPr>
        <w:t xml:space="preserve">ул, Московская, л. 55. г. Казань. 420021 тел.: (843) 236-89-22, факс (843) 238-19-46 </w:t>
      </w:r>
      <w:r>
        <w:rPr>
          <w:rStyle w:val="CharStyle14"/>
        </w:rPr>
        <w:t>e-mail: tol6fifas.gov.ru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400" w:right="0" w:firstLine="0"/>
      </w:pPr>
      <w:bookmarkStart w:id="0" w:name="bookmark0"/>
      <w:r>
        <w:rPr>
          <w:rStyle w:val="CharStyle17"/>
          <w:i/>
          <w:iCs/>
        </w:rPr>
        <w:t>45.M.JUon-</w:t>
      </w:r>
      <w:r>
        <w:rPr>
          <w:rStyle w:val="CharStyle18"/>
          <w:lang w:val="en-US" w:eastAsia="en-US" w:bidi="en-US"/>
          <w:i w:val="0"/>
          <w:iCs w:val="0"/>
        </w:rPr>
        <w:t xml:space="preserve"> </w:t>
      </w:r>
      <w:r>
        <w:rPr>
          <w:rStyle w:val="CharStyle18"/>
          <w:i w:val="0"/>
          <w:iCs w:val="0"/>
        </w:rPr>
        <w:t xml:space="preserve">№ </w:t>
      </w:r>
      <w:r>
        <w:rPr>
          <w:rStyle w:val="CharStyle19"/>
          <w:i/>
          <w:iCs/>
        </w:rPr>
        <w:t>сч~сч</w:t>
      </w:r>
      <w:r>
        <w:rPr>
          <w:rStyle w:val="CharStyle20"/>
          <w:i w:val="0"/>
          <w:iCs w:val="0"/>
        </w:rPr>
        <w:t>)</w:t>
      </w:r>
      <w:r>
        <w:rPr>
          <w:rStyle w:val="CharStyle21"/>
          <w:i w:val="0"/>
          <w:iCs w:val="0"/>
        </w:rPr>
        <w:t>&lt;9 С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76" w:line="259" w:lineRule="exact"/>
        <w:ind w:left="0" w:right="20" w:firstLine="0"/>
      </w:pPr>
      <w:r>
        <w:rPr>
          <w:rStyle w:val="CharStyle9"/>
        </w:rPr>
        <w:t xml:space="preserve">МОНОПОЛИЯГ0 КАРШЫ ФЕДЕРАЛЬ </w:t>
      </w:r>
      <w:r>
        <w:rPr>
          <w:rStyle w:val="CharStyle9"/>
          <w:lang w:val="en-US" w:eastAsia="en-US" w:bidi="en-US"/>
        </w:rPr>
        <w:t>XE3M0T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42" w:line="264" w:lineRule="exact"/>
        <w:ind w:left="120" w:right="120" w:firstLine="240"/>
      </w:pPr>
      <w:r>
        <w:rPr>
          <w:rStyle w:val="CharStyle9"/>
        </w:rPr>
        <w:t>Мононоли я га карты Фсдераль хсзмэтнен Татарстан Республикасы буен ча идаросе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187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76" w:left="1021" w:right="1885" w:bottom="371" w:header="0" w:footer="3" w:gutter="0"/>
          <w:rtlGutter w:val="0"/>
          <w:cols w:num="2" w:space="720" w:equalWidth="0">
            <w:col w:w="4195" w:space="1781"/>
            <w:col w:w="3024"/>
          </w:cols>
          <w:noEndnote/>
          <w:docGrid w:linePitch="360"/>
        </w:sectPr>
      </w:pPr>
      <w:r>
        <w:rPr>
          <w:rStyle w:val="CharStyle13"/>
        </w:rPr>
        <w:t xml:space="preserve">Мэскэу ур., 55 йорт, Казак шэЬзре. 420021 тел.: (843) 236-89-22. факс (843) 238-19-46 </w:t>
      </w:r>
      <w:r>
        <w:rPr>
          <w:rStyle w:val="CharStyle22"/>
        </w:rPr>
        <w:t xml:space="preserve">e-mail; </w:t>
      </w:r>
      <w:r>
        <w:fldChar w:fldCharType="begin"/>
      </w:r>
      <w:r>
        <w:rPr>
          <w:rStyle w:val="CharStyle22"/>
        </w:rPr>
        <w:instrText> HYPERLINK "mailto:tol6@fas.gov.ru" </w:instrText>
      </w:r>
      <w:r>
        <w:fldChar w:fldCharType="separate"/>
      </w:r>
      <w:r>
        <w:rPr>
          <w:rStyle w:val="Hyperlink"/>
        </w:rPr>
        <w:t>tol6@fas.gov.ru</w:t>
      </w:r>
      <w:r>
        <w:fldChar w:fldCharType="end"/>
      </w: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tabs>
          <w:tab w:leader="underscore" w:pos="2332" w:val="center"/>
          <w:tab w:leader="underscore" w:pos="36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7" w:line="190" w:lineRule="exact"/>
        <w:ind w:left="580" w:right="0" w:firstLine="0"/>
      </w:pPr>
      <w:r>
        <w:rPr>
          <w:rStyle w:val="CharStyle23"/>
        </w:rPr>
        <w:t xml:space="preserve">На </w:t>
      </w:r>
      <w:r>
        <w:rPr>
          <w:rStyle w:val="CharStyle13"/>
        </w:rPr>
        <w:t>№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13"/>
        </w:rPr>
        <w:t>ОТ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17" w:line="240" w:lineRule="exact"/>
        <w:ind w:left="5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677" w:line="240" w:lineRule="exact"/>
        <w:ind w:left="5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МУП «Метроэлектротранс»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596" w:line="312" w:lineRule="exact"/>
        <w:ind w:left="5380" w:right="15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«Профит-Плюс» </w:t>
      </w:r>
      <w:r>
        <w:fldChar w:fldCharType="begin"/>
      </w:r>
      <w:r>
        <w:rPr>
          <w:color w:val="000000"/>
        </w:rPr>
        <w:instrText> HYPERLINK "mailto:Moscow@profitp.su"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Moscow@profitp.su</w:t>
      </w:r>
      <w:r>
        <w:fldChar w:fldCharType="end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center"/>
        <w:spacing w:before="0" w:after="362" w:line="317" w:lineRule="exact"/>
        <w:ind w:left="0" w:right="0" w:firstLine="0"/>
      </w:pPr>
      <w:r>
        <w:rPr>
          <w:rStyle w:val="CharStyle26"/>
        </w:rPr>
        <w:t>РЕШЕНИЕ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делу 542-кз/2017 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Style24"/>
        <w:tabs>
          <w:tab w:leader="none" w:pos="9217" w:val="center"/>
          <w:tab w:leader="none" w:pos="1014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08 ноября 2017 года</w:t>
        <w:tab/>
        <w:t>г.</w:t>
        <w:tab/>
        <w:t>Казань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4"/>
        <w:tabs>
          <w:tab w:leader="none" w:pos="58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Зам. председателя Комиссии:</w:t>
        <w:tab/>
        <w:t>Яфизова А.А. - начальника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отдела,</w:t>
      </w:r>
    </w:p>
    <w:p>
      <w:pPr>
        <w:pStyle w:val="Style24"/>
        <w:tabs>
          <w:tab w:leader="none" w:pos="5834" w:val="left"/>
          <w:tab w:leader="none" w:pos="7223" w:val="left"/>
          <w:tab w:leader="none" w:pos="1014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  <w:tab/>
        <w:t>Кучеевой</w:t>
        <w:tab/>
        <w:t>А.С.</w:t>
        <w:tab/>
        <w:t>- ведущего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специалиста-эксперта,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59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Карама И.М. - специалиста 1 разряда,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362" w:line="317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представителей заказчика МУП «Метроэлектротранс» - Имамеева А.З. (доверенность от 05.06.2017г. № 395) и Кисариной С.Г. (доверенность от 30.06.2015г. № 16А А 2841606), в отсутствии представителя заявителя ООО «Профит-Плюс», о времени и месте рассмотрения жалобы уведомленного надлежащим образом, рассмотрев жалобу ООО «Профит-Плюс» на действия заказчика - МУП «Метроэлектротранс» при проведении электронного аукциона № 1200700000117000349 на предмет: «Поставка провода МФ-100»,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418" w:line="240" w:lineRule="exact"/>
        <w:ind w:left="4160" w:right="0" w:firstLine="0"/>
      </w:pPr>
      <w:r>
        <w:rPr>
          <w:rStyle w:val="CharStyle26"/>
        </w:rPr>
        <w:t>УСТАНОВИЛА: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138915</w:t>
      </w:r>
      <w:r>
        <w:br w:type="page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Извещение о проведении электронного аукциона №1200700000117000349, размещено на официальном сайте Российской Федерации </w:t>
      </w:r>
      <w:r>
        <w:fldChar w:fldCharType="begin"/>
      </w:r>
      <w:r>
        <w:rPr>
          <w:color w:val="000000"/>
        </w:rPr>
        <w:instrText> HYPERLINK "http://www.etp.zakazrf.ru"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www.etp.zakazrf.ru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16.10.2017г.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- МУНИЦИПАЛЬНОЕ УНИТАРНОЕ ПРЕДПРИЯТИЕ «МЕТРОЭЛЕКТРОТРАНС» ГОРОДА КАЗАНИ.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- 5 872 500 ,00 руб.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Суть жалобы, по мнению заявителя, закупка проводится с нарушениями норм действующего законодательства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Представитель заказчика с доводами, изложенными в жалобе не согласился, представил устные и письменные пояснения.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материалы, а также доводы сторон, Комиссия установила следующее.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пункта 1 части 1 статьи 33 Закона о контрактной системе,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4 «Техническое задание» аукционной документации заказчиком предусмотрены требования к характеристикам поставляемого провода МФ-100, а именно: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«1. Временное сопротивление контактного провода мф-100 при растяжении, не менее: 367,6 Мпа;</w:t>
      </w:r>
    </w:p>
    <w:p>
      <w:pPr>
        <w:pStyle w:val="Style2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Относительное удлинение контактного провода мф-100, не менее: 4,0%;</w:t>
      </w:r>
    </w:p>
    <w:p>
      <w:pPr>
        <w:pStyle w:val="Style2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Удельное электрическое сопротивление контактного провода мф-100, не более: 0,0177 мОм.м;</w:t>
      </w:r>
    </w:p>
    <w:p>
      <w:pPr>
        <w:pStyle w:val="Style2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Провода должны пройти механические испытания на разрыв, кручение и изгиб. На кручение три оборота на 360° вокруг оси без излома (длина провода 250 мм.) На изгиб провод, зажатый в тисках должен выдерживать изгиб на 90° в одну сторону и перегиб на 180° в обратную без излома».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Письму ФАС России от 1 июля 2016 года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ИА/44536/16 при установлении заказчиком в документации, извещении о закупке требований к описанию участниками закупки товаров следует учесть, что </w:t>
      </w:r>
      <w:r>
        <w:rPr>
          <w:rStyle w:val="CharStyle27"/>
        </w:rPr>
        <w:t xml:space="preserve">Закон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 </w:t>
      </w:r>
      <w:r>
        <w:rPr>
          <w:rStyle w:val="CharStyle27"/>
        </w:rPr>
        <w:t xml:space="preserve">контрактной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в случае установления Заказчиком требований к описанию участниками закупок в составе заявок химического состава и (или) компонентов товара, показателей, значения которых становятся известными при испытании определенной партии товара после его производства такие действия нарушают требования пункта 1 части 1 статьи 33, пункта 2 части 1 статьи 64 Федерального закона о контрактной системе.</w:t>
      </w:r>
    </w:p>
    <w:p>
      <w:pPr>
        <w:pStyle w:val="Style24"/>
        <w:tabs>
          <w:tab w:leader="none" w:pos="1022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Татарстанского У ФАС России приходит к выводу, что данное техническое задание не отвечает требованиям объективного описания объекта в виду того что показатели закупаемого товара (в том числе:</w:t>
        <w:tab/>
        <w:t>временное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сопротивление, относительное удлинение, удельное электрическое сопротивление, разрыв, кручение и изгиб) становятся известны только после различных испытаний, что является нарушением требований пункта 2 части 1 статьи 64 с отсылочной нормой на пункт 1 части 1 статьи 33 Закона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довод заявителя является обоснованным.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Учитывая, что выявленные нарушения не повлияли на результаты осуществления закупки (определения поставщика) и заявитель жалобы не являлся участником электронного аукциона, предписание об устранении нарушения законодательства о контрактной системе не выдавать.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342" w:line="312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Исходя из вышеуказанного, руководствуясь пунктом 2 части 22 статьи 99, частью 8 статьи 106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28"/>
        <w:widowControl w:val="0"/>
        <w:keepNext/>
        <w:keepLines/>
        <w:shd w:val="clear" w:color="auto" w:fill="auto"/>
        <w:bidi w:val="0"/>
        <w:jc w:val="left"/>
        <w:spacing w:before="0" w:after="257" w:line="260" w:lineRule="exact"/>
        <w:ind w:left="470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РЕШИЛА:</w:t>
      </w:r>
      <w:bookmarkEnd w:id="1"/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 Признать жалобу ООО «Профит-Плюс» на действия заказчика - МУП «Метроэлектротранс» при проведении электронного аукциона № 1200700000117000349 на предмет: «Поставка провода МФ-100», обоснованной.</w:t>
      </w:r>
    </w:p>
    <w:p>
      <w:pPr>
        <w:pStyle w:val="Style2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- МУП «Метроэлектротранс» нарушившим требования пункта 1 части 1 статьи 64 с отсылочной нормой на пункт 1 части 1 статьи 33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2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Российской Федерации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558" w:line="346" w:lineRule="exact"/>
        <w:ind w:left="80" w:right="26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10813" w:line="773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Зам. председателя Комиссии: Члены Комиссии: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180" w:right="74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Исп. Кучеева Алина Сергеевна </w:t>
      </w:r>
      <w:r>
        <w:rPr>
          <w:rStyle w:val="CharStyle30"/>
        </w:rPr>
        <w:t>тел. (843) 238-24-86</w:t>
      </w:r>
    </w:p>
    <w:sectPr>
      <w:type w:val="continuous"/>
      <w:pgSz w:w="11906" w:h="16838"/>
      <w:pgMar w:top="775" w:left="752" w:right="709" w:bottom="77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19"/>
    </w:rPr>
  </w:style>
  <w:style w:type="character" w:customStyle="1" w:styleId="CharStyle5">
    <w:name w:val="Основной текст (4) + Arial Narrow,9 pt,Курсив,Интервал 0 pt Exact"/>
    <w:basedOn w:val="CharStyle4"/>
    <w:rPr>
      <w:lang w:val="ru-RU" w:eastAsia="ru-RU" w:bidi="ru-RU"/>
      <w:i/>
      <w:iCs/>
      <w:sz w:val="18"/>
      <w:szCs w:val="18"/>
      <w:rFonts w:ascii="Arial Narrow" w:eastAsia="Arial Narrow" w:hAnsi="Arial Narrow" w:cs="Arial Narrow"/>
      <w:w w:val="100"/>
      <w:spacing w:val="0"/>
      <w:color w:val="000000"/>
      <w:position w:val="0"/>
    </w:rPr>
  </w:style>
  <w:style w:type="character" w:customStyle="1" w:styleId="CharStyle6">
    <w:name w:val="Основной текст (4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character" w:customStyle="1" w:styleId="CharStyle9">
    <w:name w:val="Основной текст (2)"/>
    <w:basedOn w:val="CharStyle8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2) + 10 pt"/>
    <w:basedOn w:val="CharStyle8"/>
    <w:rPr>
      <w:lang w:val="ru-RU" w:eastAsia="ru-RU" w:bidi="ru-RU"/>
      <w:sz w:val="20"/>
      <w:szCs w:val="20"/>
      <w:w w:val="10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3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3) + 6,5 pt"/>
    <w:basedOn w:val="CharStyle12"/>
    <w:rPr>
      <w:lang w:val="en-US" w:eastAsia="en-US" w:bidi="en-US"/>
      <w:sz w:val="13"/>
      <w:szCs w:val="13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 w:val="0"/>
      <w:bCs w:val="0"/>
      <w:i/>
      <w:iCs/>
      <w:u w:val="none"/>
      <w:strike w:val="0"/>
      <w:smallCaps w:val="0"/>
      <w:sz w:val="26"/>
      <w:szCs w:val="26"/>
      <w:rFonts w:ascii="Century Gothic" w:eastAsia="Century Gothic" w:hAnsi="Century Gothic" w:cs="Century Gothic"/>
    </w:rPr>
  </w:style>
  <w:style w:type="character" w:customStyle="1" w:styleId="CharStyle17">
    <w:name w:val="Заголовок №1"/>
    <w:basedOn w:val="CharStyle1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Заголовок №1 + Times New Roman,Не курсив,Интервал 7 pt"/>
    <w:basedOn w:val="CharStyle16"/>
    <w:rPr>
      <w:lang w:val="ru-RU" w:eastAsia="ru-RU" w:bidi="ru-RU"/>
      <w:i/>
      <w:iCs/>
      <w:rFonts w:ascii="Times New Roman" w:eastAsia="Times New Roman" w:hAnsi="Times New Roman" w:cs="Times New Roman"/>
      <w:w w:val="100"/>
      <w:spacing w:val="150"/>
      <w:color w:val="000000"/>
      <w:position w:val="0"/>
    </w:rPr>
  </w:style>
  <w:style w:type="character" w:customStyle="1" w:styleId="CharStyle19">
    <w:name w:val="Заголовок №1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Заголовок №1 + Times New Roman,Не курсив,Интервал 7 pt"/>
    <w:basedOn w:val="CharStyle16"/>
    <w:rPr>
      <w:lang w:val="ru-RU" w:eastAsia="ru-RU" w:bidi="ru-RU"/>
      <w:i/>
      <w:iCs/>
      <w:u w:val="single"/>
      <w:rFonts w:ascii="Times New Roman" w:eastAsia="Times New Roman" w:hAnsi="Times New Roman" w:cs="Times New Roman"/>
      <w:w w:val="100"/>
      <w:spacing w:val="150"/>
      <w:color w:val="000000"/>
      <w:position w:val="0"/>
    </w:rPr>
  </w:style>
  <w:style w:type="character" w:customStyle="1" w:styleId="CharStyle21">
    <w:name w:val="Заголовок №1 + Times New Roman,Не курсив,Интервал 7 pt"/>
    <w:basedOn w:val="CharStyle16"/>
    <w:rPr>
      <w:lang w:val="ru-RU" w:eastAsia="ru-RU" w:bidi="ru-RU"/>
      <w:i/>
      <w:iCs/>
      <w:rFonts w:ascii="Times New Roman" w:eastAsia="Times New Roman" w:hAnsi="Times New Roman" w:cs="Times New Roman"/>
      <w:w w:val="100"/>
      <w:spacing w:val="150"/>
      <w:color w:val="000000"/>
      <w:position w:val="0"/>
    </w:rPr>
  </w:style>
  <w:style w:type="character" w:customStyle="1" w:styleId="CharStyle22">
    <w:name w:val="Основной текст (3)"/>
    <w:basedOn w:val="CharStyle12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23">
    <w:name w:val="Основной текст (3) + 9,5 pt"/>
    <w:basedOn w:val="CharStyle12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25">
    <w:name w:val="Основной текст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 + Интервал 4 pt"/>
    <w:basedOn w:val="CharStyle25"/>
    <w:rPr>
      <w:lang w:val="ru-RU" w:eastAsia="ru-RU" w:bidi="ru-RU"/>
      <w:sz w:val="24"/>
      <w:szCs w:val="24"/>
      <w:w w:val="100"/>
      <w:spacing w:val="80"/>
      <w:color w:val="000000"/>
      <w:position w:val="0"/>
    </w:rPr>
  </w:style>
  <w:style w:type="character" w:customStyle="1" w:styleId="CharStyle27">
    <w:name w:val="Основной текст"/>
    <w:basedOn w:val="CharStyle2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Заголовок №2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70"/>
    </w:rPr>
  </w:style>
  <w:style w:type="character" w:customStyle="1" w:styleId="CharStyle30">
    <w:name w:val="Основной текст (2) + 10 pt,Интервал 0 pt"/>
    <w:basedOn w:val="CharStyle8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19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after="180" w:line="254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before="180" w:after="360" w:line="18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36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Century Gothic" w:eastAsia="Century Gothic" w:hAnsi="Century Gothic" w:cs="Century Gothic"/>
    </w:rPr>
  </w:style>
  <w:style w:type="paragraph" w:customStyle="1" w:styleId="Style24">
    <w:name w:val="Основной текст"/>
    <w:basedOn w:val="Normal"/>
    <w:link w:val="CharStyle25"/>
    <w:pPr>
      <w:widowControl w:val="0"/>
      <w:shd w:val="clear" w:color="auto" w:fill="FFFFFF"/>
      <w:spacing w:before="30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8">
    <w:name w:val="Заголовок №2"/>
    <w:basedOn w:val="Normal"/>
    <w:link w:val="CharStyle29"/>
    <w:pPr>
      <w:widowControl w:val="0"/>
      <w:shd w:val="clear" w:color="auto" w:fill="FFFFFF"/>
      <w:outlineLvl w:val="1"/>
      <w:spacing w:before="300"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7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