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54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76" w:left="923" w:right="6981" w:bottom="654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ФЕДЕРАЛЬНАЯ АНТИМОНОПОЛЬНАЯ СЛУЖБА</w:t>
      </w: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5" w:wrap="around" w:vAnchor="text" w:hAnchor="margin" w:x="580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0"/>
        </w:rPr>
        <w:t>Варданян Артур Володьевич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9"/>
          <w:b/>
          <w:bCs/>
        </w:rPr>
        <w:t>УПРАВЛЕНИЕ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91"/>
        <w:ind w:left="0" w:right="0" w:firstLine="0"/>
      </w:pPr>
      <w:r>
        <w:rPr>
          <w:rStyle w:val="CharStyle12"/>
          <w:b/>
          <w:bCs/>
        </w:rPr>
        <w:t>Федеральной антимонопольной службы по Волгоградской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"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0" w:right="0" w:firstLine="0"/>
        <w:sectPr>
          <w:type w:val="continuous"/>
          <w:pgSz w:w="11906" w:h="16838"/>
          <w:pgMar w:top="461" w:left="899" w:right="2037" w:bottom="639" w:header="0" w:footer="3" w:gutter="0"/>
          <w:rtlGutter w:val="0"/>
          <w:cols w:num="2" w:space="720" w:equalWidth="0">
            <w:col w:w="4051" w:space="1843"/>
            <w:col w:w="307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Виноградная, 1а, г. Краснослободск, Волгоградская обл., 404160 </w:t>
      </w:r>
      <w:r>
        <w:fldChar w:fldCharType="begin"/>
      </w:r>
      <w:r>
        <w:rPr>
          <w:color w:val="000000"/>
        </w:rPr>
        <w:instrText> HYPERLINK "mailto:vard-artur@mail.ru"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vard-artur@mail.ru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179" w:wrap="around" w:vAnchor="text" w:hAnchor="margin" w:x="1823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16"/>
        </w:rPr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00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31 октября 2017 года вх. № 10180 в Волгоградское УФАС России (далее - Управление) поступила жалоба Варданяна А.В. на закупку «Услуги по техническому обслуживанию комплекса технических средств охраны по ул. им. Маршала Чуйкова, 37» (номер извещения 292007-17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VLGR).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нарушение требований, установленных п. 3 ч. 8 ст. 105 Федерального закона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в жалобе Варданяна А.В. не содержится указание на закупку, а также отсутствует указание на обжалуемые действия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Указанный в жалобе номер закупки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292007-17VLGR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отсутствует в единой информационной системе на официальном сайте </w:t>
      </w:r>
      <w:r>
        <w:fldChar w:fldCharType="begin"/>
      </w:r>
      <w:r>
        <w:rPr>
          <w:rStyle w:val="CharStyle20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Следовательно, сведения об указанной закупке не позволяют идентифицировать закупку, размещенную в единой информационной системе на официальном сайте </w:t>
      </w:r>
      <w:r>
        <w:fldChar w:fldCharType="begin"/>
      </w:r>
      <w:r>
        <w:rPr>
          <w:rStyle w:val="CharStyle20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10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Варданяна А.В. не соответствует требованиям, установленным ст.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10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ч. 11 ст. 105 Закона о контрактной системе, жалоба Варданяна А.В. возвращается в связи с тем, что подана с нарушением требований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57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материалы жалобы на 2 л. в 1 экз.</w:t>
      </w:r>
    </w:p>
    <w:p>
      <w:pPr>
        <w:pStyle w:val="Style3"/>
        <w:framePr w:h="237" w:wrap="around" w:vAnchor="text" w:hAnchor="margin" w:x="8375" w:y="4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6"/>
          <w:spacing w:val="0"/>
        </w:rPr>
        <w:t>И.Б. Никуйко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36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7"/>
        <w:framePr w:h="340" w:wrap="notBeside" w:vAnchor="text" w:hAnchor="margin" w:x="8956" w:y="468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005201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240" w:right="7360" w:firstLine="0"/>
      </w:pPr>
      <w:r>
        <w:rPr>
          <w:rStyle w:val="CharStyle21"/>
        </w:rPr>
        <w:t xml:space="preserve">Берендеев И.Ю.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  <w:r>
        <w:br w:type="page"/>
      </w:r>
    </w:p>
    <w:sectPr>
      <w:type w:val="continuous"/>
      <w:pgSz w:w="11906" w:h="16838"/>
      <w:pgMar w:top="476" w:left="904" w:right="947" w:bottom="65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Заголовок №1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8">
    <w:name w:val="Основной текст (5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3"/>
    </w:rPr>
  </w:style>
  <w:style w:type="character" w:customStyle="1" w:styleId="CharStyle19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"/>
    <w:basedOn w:val="CharStyle4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3) + 9,5 pt"/>
    <w:basedOn w:val="CharStyle14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before="300"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before="60" w:after="6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center"/>
      <w:spacing w:before="6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