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7"/>
        <w:tabs>
          <w:tab w:leader="none" w:pos="6282" w:val="right"/>
        </w:tabs>
        <w:widowControl w:val="0"/>
        <w:keepNext w:val="0"/>
        <w:keepLines w:val="0"/>
        <w:shd w:val="clear" w:color="auto" w:fill="auto"/>
        <w:bidi w:val="0"/>
        <w:spacing w:before="0" w:after="0"/>
        <w:ind w:left="1040" w:right="0" w:firstLine="1940"/>
      </w:pPr>
      <w:r>
        <w:rPr>
          <w:lang w:val="ru-RU" w:eastAsia="ru-RU" w:bidi="ru-RU"/>
          <w:w w:val="100"/>
          <w:spacing w:val="0"/>
          <w:color w:val="000000"/>
          <w:position w:val="0"/>
        </w:rPr>
        <w:t>У полномоченному</w:t>
        <w:tab/>
        <w:t>органу</w:t>
      </w:r>
    </w:p>
    <w:p>
      <w:pPr>
        <w:pStyle w:val="Style3"/>
        <w:framePr w:w="4720" w:h="2728" w:wrap="around" w:vAnchor="text" w:hAnchor="margin" w:x="-37" w:y="372"/>
        <w:widowControl w:val="0"/>
        <w:keepNext w:val="0"/>
        <w:keepLines w:val="0"/>
        <w:shd w:val="clear" w:color="auto" w:fill="auto"/>
        <w:bidi w:val="0"/>
        <w:spacing w:before="0" w:after="86"/>
        <w:ind w:left="0" w:right="0" w:firstLine="0"/>
      </w:pPr>
      <w:r>
        <w:rPr>
          <w:rStyle w:val="CharStyle5"/>
          <w:spacing w:val="10"/>
        </w:rPr>
        <w:t>ФЕДЕРАЛЬНАЯ АНТИМОНОПОЛЬНАЯ СЛУЖБА</w:t>
      </w:r>
    </w:p>
    <w:p>
      <w:pPr>
        <w:pStyle w:val="Style6"/>
        <w:framePr w:w="4720" w:h="2728" w:wrap="around" w:vAnchor="text" w:hAnchor="margin" w:x="-37" w:y="372"/>
        <w:widowControl w:val="0"/>
        <w:keepNext w:val="0"/>
        <w:keepLines w:val="0"/>
        <w:shd w:val="clear" w:color="auto" w:fill="auto"/>
        <w:bidi w:val="0"/>
        <w:jc w:val="center"/>
        <w:spacing w:before="0" w:after="0" w:line="312" w:lineRule="exact"/>
        <w:ind w:left="0" w:right="0" w:firstLine="0"/>
      </w:pPr>
      <w:r>
        <w:rPr>
          <w:rStyle w:val="CharStyle8"/>
          <w:b/>
          <w:bCs/>
          <w:spacing w:val="0"/>
        </w:rPr>
        <w:t>УПРАВЛЕНИЕ Федеральной антимонопольной службы по Алтайскому краю</w:t>
      </w:r>
    </w:p>
    <w:p>
      <w:pPr>
        <w:pStyle w:val="Style9"/>
        <w:framePr w:w="4720" w:h="2728" w:wrap="around" w:vAnchor="text" w:hAnchor="margin" w:x="-37" w:y="372"/>
        <w:widowControl w:val="0"/>
        <w:keepNext w:val="0"/>
        <w:keepLines w:val="0"/>
        <w:shd w:val="clear" w:color="auto" w:fill="auto"/>
        <w:bidi w:val="0"/>
        <w:spacing w:before="0" w:after="49"/>
        <w:ind w:left="0" w:right="0" w:firstLine="0"/>
      </w:pPr>
      <w:r>
        <w:rPr>
          <w:rStyle w:val="CharStyle11"/>
          <w:spacing w:val="0"/>
        </w:rPr>
        <w:t xml:space="preserve">ул. Пролетарская, 65, г. Барнаул, 656068, тел. (3852) 24-54-47; факс (3852) 24-68-81 </w:t>
      </w:r>
      <w:r>
        <w:rPr>
          <w:rStyle w:val="CharStyle11"/>
          <w:lang w:val="en-US" w:eastAsia="en-US" w:bidi="en-US"/>
          <w:spacing w:val="0"/>
        </w:rPr>
        <w:t xml:space="preserve">e-mail: </w:t>
      </w:r>
      <w:r>
        <w:fldChar w:fldCharType="begin"/>
      </w:r>
      <w:r>
        <w:rPr>
          <w:rStyle w:val="CharStyle11"/>
        </w:rPr>
        <w:instrText> HYPERLINK "mailto:to22@fas.gov.ru" </w:instrText>
      </w:r>
      <w:r>
        <w:fldChar w:fldCharType="separate"/>
      </w:r>
      <w:r>
        <w:rPr>
          <w:rStyle w:val="Hyperlink"/>
          <w:lang w:val="en-US" w:eastAsia="en-US" w:bidi="en-US"/>
          <w:spacing w:val="0"/>
        </w:rPr>
        <w:t>to22@fas.gov.ru</w:t>
      </w:r>
      <w:r>
        <w:fldChar w:fldCharType="end"/>
      </w:r>
    </w:p>
    <w:p>
      <w:pPr>
        <w:pStyle w:val="Style12"/>
        <w:framePr w:w="4720" w:h="2728" w:wrap="around" w:vAnchor="text" w:hAnchor="margin" w:x="-37" w:y="372"/>
        <w:tabs>
          <w:tab w:leader="none" w:pos="3897" w:val="right"/>
        </w:tabs>
        <w:widowControl w:val="0"/>
        <w:keepNext w:val="0"/>
        <w:keepLines w:val="0"/>
        <w:shd w:val="clear" w:color="auto" w:fill="auto"/>
        <w:bidi w:val="0"/>
        <w:spacing w:before="0" w:after="0" w:line="300" w:lineRule="exact"/>
        <w:ind w:left="340" w:right="0" w:firstLine="0"/>
      </w:pPr>
      <w:r>
        <w:rPr>
          <w:rStyle w:val="CharStyle14"/>
          <w:spacing w:val="0"/>
        </w:rPr>
        <w:t>СйлО</w:t>
      </w:r>
      <w:r>
        <w:rPr>
          <w:rStyle w:val="CharStyle14"/>
          <w:lang w:val="en-US" w:eastAsia="en-US" w:bidi="en-US"/>
          <w:spacing w:val="0"/>
        </w:rPr>
        <w:t xml:space="preserve">LOV4 </w:t>
      </w:r>
      <w:r>
        <w:rPr>
          <w:rStyle w:val="CharStyle15"/>
          <w:vertAlign w:val="subscript"/>
        </w:rPr>
        <w:t>№</w:t>
      </w:r>
      <w:r>
        <w:rPr>
          <w:rStyle w:val="CharStyle16"/>
          <w:lang w:val="ru-RU" w:eastAsia="ru-RU" w:bidi="ru-RU"/>
          <w:spacing w:val="0"/>
        </w:rPr>
        <w:tab/>
      </w:r>
      <w:r>
        <w:rPr>
          <w:rStyle w:val="CharStyle14"/>
          <w:spacing w:val="0"/>
        </w:rPr>
        <w:t>/&amp;</w:t>
      </w:r>
    </w:p>
    <w:p>
      <w:pPr>
        <w:pStyle w:val="Style17"/>
        <w:widowControl w:val="0"/>
        <w:keepNext w:val="0"/>
        <w:keepLines w:val="0"/>
        <w:shd w:val="clear" w:color="auto" w:fill="auto"/>
        <w:bidi w:val="0"/>
        <w:spacing w:before="0" w:after="240"/>
        <w:ind w:left="1040" w:right="40" w:firstLine="1940"/>
      </w:pPr>
      <w:r>
        <w:rPr>
          <w:lang w:val="ru-RU" w:eastAsia="ru-RU" w:bidi="ru-RU"/>
          <w:w w:val="100"/>
          <w:spacing w:val="0"/>
          <w:color w:val="000000"/>
          <w:position w:val="0"/>
        </w:rPr>
        <w:t>Администрации города Бийска 659306, Алтайский край, г. Бийск. ул. Ленина, 250</w:t>
      </w:r>
    </w:p>
    <w:p>
      <w:pPr>
        <w:pStyle w:val="Style17"/>
        <w:tabs>
          <w:tab w:leader="none" w:pos="5144" w:val="right"/>
        </w:tabs>
        <w:widowControl w:val="0"/>
        <w:keepNext w:val="0"/>
        <w:keepLines w:val="0"/>
        <w:shd w:val="clear" w:color="auto" w:fill="auto"/>
        <w:bidi w:val="0"/>
        <w:spacing w:before="0" w:after="0"/>
        <w:ind w:left="1040" w:right="40" w:firstLine="0"/>
      </w:pPr>
      <w:r>
        <w:rPr>
          <w:lang w:val="ru-RU" w:eastAsia="ru-RU" w:bidi="ru-RU"/>
          <w:w w:val="100"/>
          <w:spacing w:val="0"/>
          <w:color w:val="000000"/>
          <w:position w:val="0"/>
        </w:rPr>
        <w:t>Заказчику - МКУ «Управление капитального</w:t>
        <w:tab/>
        <w:t>строительства</w:t>
      </w:r>
    </w:p>
    <w:p>
      <w:pPr>
        <w:pStyle w:val="Style17"/>
        <w:widowControl w:val="0"/>
        <w:keepNext w:val="0"/>
        <w:keepLines w:val="0"/>
        <w:shd w:val="clear" w:color="auto" w:fill="auto"/>
        <w:bidi w:val="0"/>
        <w:spacing w:before="0" w:after="0"/>
        <w:ind w:left="1040" w:right="0" w:firstLine="0"/>
      </w:pPr>
      <w:r>
        <w:rPr>
          <w:lang w:val="ru-RU" w:eastAsia="ru-RU" w:bidi="ru-RU"/>
          <w:w w:val="100"/>
          <w:spacing w:val="0"/>
          <w:color w:val="000000"/>
          <w:position w:val="0"/>
        </w:rPr>
        <w:t>Администрации города Бийска»</w:t>
      </w:r>
    </w:p>
    <w:p>
      <w:pPr>
        <w:pStyle w:val="Style17"/>
        <w:widowControl w:val="0"/>
        <w:keepNext w:val="0"/>
        <w:keepLines w:val="0"/>
        <w:shd w:val="clear" w:color="auto" w:fill="auto"/>
        <w:bidi w:val="0"/>
        <w:spacing w:before="0" w:after="291" w:line="274" w:lineRule="exact"/>
        <w:ind w:left="1040" w:right="40" w:firstLine="0"/>
      </w:pPr>
      <w:r>
        <w:rPr>
          <w:lang w:val="ru-RU" w:eastAsia="ru-RU" w:bidi="ru-RU"/>
          <w:w w:val="100"/>
          <w:spacing w:val="0"/>
          <w:color w:val="000000"/>
          <w:position w:val="0"/>
        </w:rPr>
        <w:t>659300, Алтайский край. г. Бийск. ул. Ленина. 236</w:t>
      </w:r>
    </w:p>
    <w:p>
      <w:pPr>
        <w:pStyle w:val="Style17"/>
        <w:widowControl w:val="0"/>
        <w:keepNext w:val="0"/>
        <w:keepLines w:val="0"/>
        <w:shd w:val="clear" w:color="auto" w:fill="auto"/>
        <w:bidi w:val="0"/>
        <w:spacing w:before="0" w:after="0" w:line="210" w:lineRule="exact"/>
        <w:ind w:left="1040" w:right="0" w:firstLine="0"/>
      </w:pPr>
      <w:r>
        <w:rPr>
          <w:lang w:val="ru-RU" w:eastAsia="ru-RU" w:bidi="ru-RU"/>
          <w:w w:val="100"/>
          <w:spacing w:val="0"/>
          <w:color w:val="000000"/>
          <w:position w:val="0"/>
        </w:rPr>
        <w:t>Заявителю - ООО «Гарант»</w:t>
      </w:r>
    </w:p>
    <w:p>
      <w:pPr>
        <w:pStyle w:val="Style9"/>
        <w:framePr w:h="171" w:wrap="around" w:vAnchor="text" w:hAnchor="margin" w:x="326" w:y="385"/>
        <w:widowControl w:val="0"/>
        <w:keepNext w:val="0"/>
        <w:keepLines w:val="0"/>
        <w:shd w:val="clear" w:color="auto" w:fill="auto"/>
        <w:bidi w:val="0"/>
        <w:jc w:val="left"/>
        <w:spacing w:before="0" w:after="0" w:line="160" w:lineRule="exact"/>
        <w:ind w:left="100" w:right="0" w:firstLine="0"/>
      </w:pPr>
      <w:r>
        <w:rPr>
          <w:rStyle w:val="CharStyle11"/>
          <w:spacing w:val="0"/>
        </w:rPr>
        <w:t>На №</w:t>
      </w:r>
    </w:p>
    <w:p>
      <w:pPr>
        <w:pStyle w:val="Style9"/>
        <w:framePr w:h="160" w:wrap="around" w:vAnchor="text" w:hAnchor="margin" w:x="2049" w:y="387"/>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от</w:t>
      </w:r>
    </w:p>
    <w:p>
      <w:pPr>
        <w:pStyle w:val="Style17"/>
        <w:widowControl w:val="0"/>
        <w:keepNext w:val="0"/>
        <w:keepLines w:val="0"/>
        <w:shd w:val="clear" w:color="auto" w:fill="auto"/>
        <w:bidi w:val="0"/>
        <w:jc w:val="right"/>
        <w:spacing w:before="0" w:after="240" w:line="283" w:lineRule="exact"/>
        <w:ind w:left="1040" w:right="40" w:firstLine="0"/>
      </w:pPr>
      <w:r>
        <w:rPr>
          <w:lang w:val="ru-RU" w:eastAsia="ru-RU" w:bidi="ru-RU"/>
          <w:w w:val="100"/>
          <w:spacing w:val="0"/>
          <w:color w:val="000000"/>
          <w:position w:val="0"/>
        </w:rPr>
        <w:t xml:space="preserve">656053, г. Барнаул, ул. Катунская, д. 33 </w:t>
      </w:r>
      <w:r>
        <w:fldChar w:fldCharType="begin"/>
      </w:r>
      <w:r>
        <w:rPr>
          <w:color w:val="000000"/>
        </w:rPr>
        <w:instrText> HYPERLINK "mailto:garant-2016@mail.ru" </w:instrText>
      </w:r>
      <w:r>
        <w:fldChar w:fldCharType="separate"/>
      </w:r>
      <w:r>
        <w:rPr>
          <w:rStyle w:val="Hyperlink"/>
          <w:lang w:val="en-US" w:eastAsia="en-US" w:bidi="en-US"/>
          <w:w w:val="100"/>
          <w:spacing w:val="0"/>
          <w:position w:val="0"/>
        </w:rPr>
        <w:t>garant-2016@mail.ru</w:t>
      </w:r>
      <w:r>
        <w:fldChar w:fldCharType="end"/>
      </w:r>
    </w:p>
    <w:p>
      <w:pPr>
        <w:pStyle w:val="Style17"/>
        <w:widowControl w:val="0"/>
        <w:keepNext w:val="0"/>
        <w:keepLines w:val="0"/>
        <w:shd w:val="clear" w:color="auto" w:fill="auto"/>
        <w:bidi w:val="0"/>
        <w:jc w:val="left"/>
        <w:spacing w:before="0" w:after="0" w:line="283" w:lineRule="exact"/>
        <w:ind w:left="5520" w:right="40" w:firstLine="0"/>
      </w:pPr>
      <w:r>
        <w:rPr>
          <w:lang w:val="ru-RU" w:eastAsia="ru-RU" w:bidi="ru-RU"/>
          <w:w w:val="100"/>
          <w:spacing w:val="0"/>
          <w:color w:val="000000"/>
          <w:position w:val="0"/>
        </w:rPr>
        <w:t>Оператору электронной площадки - ООО «РТС-тендер»</w:t>
      </w:r>
    </w:p>
    <w:p>
      <w:pPr>
        <w:pStyle w:val="Style17"/>
        <w:widowControl w:val="0"/>
        <w:keepNext w:val="0"/>
        <w:keepLines w:val="0"/>
        <w:shd w:val="clear" w:color="auto" w:fill="auto"/>
        <w:bidi w:val="0"/>
        <w:jc w:val="left"/>
        <w:spacing w:before="0" w:after="0" w:line="269" w:lineRule="exact"/>
        <w:ind w:left="5520" w:right="40" w:firstLine="0"/>
      </w:pPr>
      <w:r>
        <w:rPr>
          <w:lang w:val="ru-RU" w:eastAsia="ru-RU" w:bidi="ru-RU"/>
          <w:w w:val="100"/>
          <w:spacing w:val="0"/>
          <w:color w:val="000000"/>
          <w:position w:val="0"/>
        </w:rPr>
        <w:t>121151, г. Москва, набережная Тараса Шевченко, д. 23-А Тел. (495) 733-95-19</w:t>
      </w:r>
    </w:p>
    <w:p>
      <w:pPr>
        <w:pStyle w:val="Style6"/>
        <w:tabs>
          <w:tab w:leader="none" w:pos="8617" w:val="right"/>
          <w:tab w:leader="none" w:pos="9599" w:val="right"/>
        </w:tabs>
        <w:widowControl w:val="0"/>
        <w:keepNext w:val="0"/>
        <w:keepLines w:val="0"/>
        <w:shd w:val="clear" w:color="auto" w:fill="auto"/>
        <w:bidi w:val="0"/>
        <w:jc w:val="left"/>
        <w:spacing w:before="0" w:after="0"/>
        <w:ind w:left="20" w:right="40" w:firstLine="4180"/>
      </w:pPr>
      <w:r>
        <w:rPr>
          <w:lang w:val="ru-RU" w:eastAsia="ru-RU" w:bidi="ru-RU"/>
          <w:w w:val="100"/>
          <w:spacing w:val="0"/>
          <w:color w:val="000000"/>
          <w:position w:val="0"/>
        </w:rPr>
        <w:t>РЕШЕНИЕ По делу № 732/17 о нарушении законодательства о контрактной системе «07» ноября 2017г.</w:t>
        <w:tab/>
        <w:t>г.</w:t>
        <w:tab/>
        <w:t>Барнаул</w:t>
      </w:r>
    </w:p>
    <w:p>
      <w:pPr>
        <w:pStyle w:val="Style17"/>
        <w:widowControl w:val="0"/>
        <w:keepNext w:val="0"/>
        <w:keepLines w:val="0"/>
        <w:shd w:val="clear" w:color="auto" w:fill="auto"/>
        <w:bidi w:val="0"/>
        <w:spacing w:before="0" w:after="0" w:line="269" w:lineRule="exact"/>
        <w:ind w:left="20" w:right="40" w:firstLine="560"/>
      </w:pPr>
      <w:r>
        <w:rPr>
          <w:lang w:val="ru-RU" w:eastAsia="ru-RU" w:bidi="ru-RU"/>
          <w:w w:val="100"/>
          <w:spacing w:val="0"/>
          <w:color w:val="000000"/>
          <w:position w:val="0"/>
        </w:rPr>
        <w:t>Комиссия управления Федеральной антимонопольной службы по Алтайскому краю по контролю в сфере закупок (далее Комиссия) в составе:</w:t>
      </w:r>
    </w:p>
    <w:p>
      <w:pPr>
        <w:pStyle w:val="Style6"/>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Председателя:</w:t>
      </w:r>
    </w:p>
    <w:p>
      <w:pPr>
        <w:pStyle w:val="Style17"/>
        <w:widowControl w:val="0"/>
        <w:keepNext w:val="0"/>
        <w:keepLines w:val="0"/>
        <w:shd w:val="clear" w:color="auto" w:fill="auto"/>
        <w:bidi w:val="0"/>
        <w:spacing w:before="0" w:after="0" w:line="269" w:lineRule="exact"/>
        <w:ind w:left="20" w:right="40" w:firstLine="560"/>
      </w:pPr>
      <w:r>
        <w:rPr>
          <w:lang w:val="ru-RU" w:eastAsia="ru-RU" w:bidi="ru-RU"/>
          <w:w w:val="100"/>
          <w:spacing w:val="0"/>
          <w:color w:val="000000"/>
          <w:position w:val="0"/>
        </w:rPr>
        <w:t>Кочеткова А.В. -заместителя руководителя управления - начальника отдела контроля закупок;</w:t>
      </w:r>
    </w:p>
    <w:p>
      <w:pPr>
        <w:pStyle w:val="Style17"/>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Членов Комиссии:</w:t>
      </w:r>
    </w:p>
    <w:p>
      <w:pPr>
        <w:pStyle w:val="Style17"/>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Миненка И.В. - главного специалиста-эксперта отдела контроля закупок;</w:t>
      </w:r>
    </w:p>
    <w:p>
      <w:pPr>
        <w:pStyle w:val="Style17"/>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Стадниченко К.С. - государственного инспектора отдела контроля закупок.</w:t>
      </w:r>
    </w:p>
    <w:p>
      <w:pPr>
        <w:pStyle w:val="Style17"/>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с участием представителей:</w:t>
      </w:r>
    </w:p>
    <w:p>
      <w:pPr>
        <w:pStyle w:val="Style17"/>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от заяви теля ООО «Гарант» - не явились, уведомлены;</w:t>
      </w:r>
    </w:p>
    <w:p>
      <w:pPr>
        <w:pStyle w:val="Style17"/>
        <w:widowControl w:val="0"/>
        <w:keepNext w:val="0"/>
        <w:keepLines w:val="0"/>
        <w:shd w:val="clear" w:color="auto" w:fill="auto"/>
        <w:bidi w:val="0"/>
        <w:spacing w:before="0" w:after="0" w:line="269" w:lineRule="exact"/>
        <w:ind w:left="20" w:right="40" w:firstLine="560"/>
      </w:pPr>
      <w:r>
        <w:rPr>
          <w:lang w:val="ru-RU" w:eastAsia="ru-RU" w:bidi="ru-RU"/>
          <w:w w:val="100"/>
          <w:spacing w:val="0"/>
          <w:color w:val="000000"/>
          <w:position w:val="0"/>
        </w:rPr>
        <w:t>от заказчика - МКУ «Управление капитального строительства Администрации города Бийска» - Винокурова К. Ю.;</w:t>
      </w:r>
    </w:p>
    <w:p>
      <w:pPr>
        <w:pStyle w:val="Style17"/>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от уполномоченного органа - Администрации г. Бийска - не явились, уведомлены;</w:t>
      </w:r>
    </w:p>
    <w:p>
      <w:pPr>
        <w:pStyle w:val="Style17"/>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в присутствии Калинина Д. Л.;</w:t>
      </w:r>
    </w:p>
    <w:p>
      <w:pPr>
        <w:pStyle w:val="Style17"/>
        <w:widowControl w:val="0"/>
        <w:keepNext w:val="0"/>
        <w:keepLines w:val="0"/>
        <w:shd w:val="clear" w:color="auto" w:fill="auto"/>
        <w:bidi w:val="0"/>
        <w:spacing w:before="0" w:after="0" w:line="269" w:lineRule="exact"/>
        <w:ind w:left="20" w:right="0" w:firstLine="560"/>
      </w:pPr>
      <w:r>
        <w:rPr>
          <w:lang w:val="ru-RU" w:eastAsia="ru-RU" w:bidi="ru-RU"/>
          <w:w w:val="100"/>
          <w:spacing w:val="0"/>
          <w:color w:val="000000"/>
          <w:position w:val="0"/>
        </w:rPr>
        <w:t>от уполномоченного органа - Администрации города Бийска - не явились, уведомлены.</w:t>
      </w:r>
    </w:p>
    <w:p>
      <w:pPr>
        <w:pStyle w:val="Style17"/>
        <w:widowControl w:val="0"/>
        <w:keepNext w:val="0"/>
        <w:keepLines w:val="0"/>
        <w:shd w:val="clear" w:color="auto" w:fill="auto"/>
        <w:bidi w:val="0"/>
        <w:spacing w:before="0" w:after="0" w:line="269" w:lineRule="exact"/>
        <w:ind w:left="20" w:right="40" w:firstLine="560"/>
      </w:pPr>
      <w:r>
        <w:rPr>
          <w:lang w:val="ru-RU" w:eastAsia="ru-RU" w:bidi="ru-RU"/>
          <w:w w:val="100"/>
          <w:spacing w:val="0"/>
          <w:color w:val="000000"/>
          <w:position w:val="0"/>
        </w:rPr>
        <w:t xml:space="preserve">рассмотрев жалобу ООО «Гарант» на действия аукционной комиссии Заказчика, Уполномоченного органа при проведении закупки № 0117300067817000094 «Замена деревянных оконных блоков на оконные блоки из </w:t>
      </w:r>
      <w:r>
        <w:rPr>
          <w:lang w:val="en-US" w:eastAsia="en-US" w:bidi="en-US"/>
          <w:w w:val="100"/>
          <w:spacing w:val="0"/>
          <w:color w:val="000000"/>
          <w:position w:val="0"/>
        </w:rPr>
        <w:t xml:space="preserve">1IBX </w:t>
      </w:r>
      <w:r>
        <w:rPr>
          <w:lang w:val="ru-RU" w:eastAsia="ru-RU" w:bidi="ru-RU"/>
          <w:w w:val="100"/>
          <w:spacing w:val="0"/>
          <w:color w:val="000000"/>
          <w:position w:val="0"/>
        </w:rPr>
        <w:t>в детских садах г. Бийска»,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widowControl w:val="0"/>
        <w:keepNext w:val="0"/>
        <w:keepLines w:val="0"/>
        <w:shd w:val="clear" w:color="auto" w:fill="auto"/>
        <w:bidi w:val="0"/>
        <w:jc w:val="center"/>
        <w:spacing w:before="0" w:after="13" w:line="210" w:lineRule="exact"/>
        <w:ind w:left="2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spacing w:before="0" w:after="175" w:line="259" w:lineRule="exact"/>
        <w:ind w:left="20" w:right="40" w:firstLine="560"/>
      </w:pPr>
      <w:r>
        <w:rPr>
          <w:lang w:val="ru-RU" w:eastAsia="ru-RU" w:bidi="ru-RU"/>
          <w:w w:val="100"/>
          <w:spacing w:val="0"/>
          <w:color w:val="000000"/>
          <w:position w:val="0"/>
        </w:rPr>
        <w:t>В управление Федеральной антимонопольной службы поступила жалоба ООО «1 арант» на действия аукционной комиссии Заказчика, Уполномоченного органа при проведении закупки № 0117300067817000094 «Замена деревянных оконных блоков на оконные блоки из ПВХ в детских садах г. Бийска».</w:t>
      </w:r>
    </w:p>
    <w:p>
      <w:pPr>
        <w:pStyle w:val="Style21"/>
        <w:tabs>
          <w:tab w:leader="none" w:pos="9599" w:val="right"/>
        </w:tabs>
        <w:widowControl w:val="0"/>
        <w:keepNext/>
        <w:keepLines/>
        <w:shd w:val="clear" w:color="auto" w:fill="auto"/>
        <w:bidi w:val="0"/>
        <w:spacing w:before="0" w:after="0" w:line="340" w:lineRule="exact"/>
        <w:ind w:left="7860" w:right="0" w:firstLine="0"/>
      </w:pPr>
      <w:bookmarkStart w:id="0" w:name="bookmark0"/>
      <w:r>
        <w:rPr>
          <w:lang w:val="ru-RU" w:eastAsia="ru-RU" w:bidi="ru-RU"/>
          <w:w w:val="100"/>
          <w:color w:val="000000"/>
          <w:position w:val="0"/>
        </w:rPr>
        <w:t>088980</w:t>
      </w:r>
      <w:r>
        <w:rPr>
          <w:rStyle w:val="CharStyle23"/>
        </w:rPr>
        <w:tab/>
        <w:t>❖</w:t>
      </w:r>
      <w:bookmarkEnd w:id="0"/>
      <w:r>
        <w:br w:type="page"/>
      </w:r>
    </w:p>
    <w:p>
      <w:pPr>
        <w:pStyle w:val="Style17"/>
        <w:widowControl w:val="0"/>
        <w:keepNext w:val="0"/>
        <w:keepLines w:val="0"/>
        <w:shd w:val="clear" w:color="auto" w:fill="auto"/>
        <w:bidi w:val="0"/>
        <w:spacing w:before="0" w:after="0" w:line="274" w:lineRule="exact"/>
        <w:ind w:left="40" w:right="40" w:firstLine="560"/>
      </w:pPr>
      <w:r>
        <w:rPr>
          <w:lang w:val="ru-RU" w:eastAsia="ru-RU" w:bidi="ru-RU"/>
          <w:w w:val="100"/>
          <w:spacing w:val="0"/>
          <w:color w:val="000000"/>
          <w:position w:val="0"/>
        </w:rPr>
        <w:t xml:space="preserve">Заявитель в жалобе указывает, что согласно протоколу рассмотрения заявок на участие в электронном аукционе от 26.10.2017 № 0117300067817000094-1 аукционной комиссией было принято неправомерное решение о несоответствии заявки № 9 ООО «Гарант» требованиям документации об аукционе со следующим обоснованием причин: </w:t>
      </w:r>
      <w:r>
        <w:rPr>
          <w:rStyle w:val="CharStyle24"/>
        </w:rPr>
        <w:t>«В соответствии с аукционной документацией и на основании Федерального закона от 5 апреля 2013 г. №44-ФЗ Участник не допускается к участию в аукционе по следующим причинам:</w:t>
      </w:r>
    </w:p>
    <w:p>
      <w:pPr>
        <w:pStyle w:val="Style25"/>
        <w:widowControl w:val="0"/>
        <w:keepNext w:val="0"/>
        <w:keepLines w:val="0"/>
        <w:shd w:val="clear" w:color="auto" w:fill="auto"/>
        <w:bidi w:val="0"/>
        <w:spacing w:before="0" w:after="0"/>
        <w:ind w:left="40" w:right="40"/>
      </w:pPr>
      <w:r>
        <w:rPr>
          <w:lang w:val="ru-RU" w:eastAsia="ru-RU" w:bidi="ru-RU"/>
          <w:w w:val="100"/>
          <w:spacing w:val="0"/>
          <w:color w:val="000000"/>
          <w:position w:val="0"/>
        </w:rPr>
        <w:t>В соответствии с п.1 ч.4 статьи 67 Федерального закона от 5 апреля 2013г. №44-ФЗ: "Предоставление недостоверной информации ".</w:t>
      </w:r>
    </w:p>
    <w:p>
      <w:pPr>
        <w:pStyle w:val="Style25"/>
        <w:widowControl w:val="0"/>
        <w:keepNext w:val="0"/>
        <w:keepLines w:val="0"/>
        <w:shd w:val="clear" w:color="auto" w:fill="auto"/>
        <w:bidi w:val="0"/>
        <w:spacing w:before="0" w:after="0"/>
        <w:ind w:left="40" w:right="40"/>
      </w:pPr>
      <w:r>
        <w:rPr>
          <w:lang w:val="ru-RU" w:eastAsia="ru-RU" w:bidi="ru-RU"/>
          <w:w w:val="100"/>
          <w:spacing w:val="0"/>
          <w:color w:val="000000"/>
          <w:position w:val="0"/>
        </w:rPr>
        <w:t>В п. 5 «Лента» Участником предоставлены значения показателей: «Вид исполнения лент в зависимости от стойкости к воздействиям минусовых температур по ГОСТ 53338- 2009: М», «Минимальная температура эксплуатации по ГОСТ 53338-2009: -20°С». Согласно п.3.2 ГОСТ 53338-2009 Вид исполнения лент М предназначен для районов со среднемесячной температурой воздуха в январе ниже минус 20 °С. Значение минимальной температуры эксплуатации для ленты, предоставленное Участником не соответствует ее исполнению. Таким образом, сведения, предоставленные Участником, являются недостоверными.</w:t>
      </w:r>
    </w:p>
    <w:p>
      <w:pPr>
        <w:pStyle w:val="Style25"/>
        <w:widowControl w:val="0"/>
        <w:keepNext w:val="0"/>
        <w:keepLines w:val="0"/>
        <w:shd w:val="clear" w:color="auto" w:fill="auto"/>
        <w:bidi w:val="0"/>
        <w:spacing w:before="0" w:after="0"/>
        <w:ind w:left="40" w:right="40"/>
      </w:pPr>
      <w:r>
        <w:rPr>
          <w:lang w:val="ru-RU" w:eastAsia="ru-RU" w:bidi="ru-RU"/>
          <w:w w:val="100"/>
          <w:spacing w:val="0"/>
          <w:color w:val="000000"/>
          <w:position w:val="0"/>
        </w:rPr>
        <w:t>В п. 18 «Кирпич керамический рядовой и клинкерный» Участником предоставлено значение показателя: «Кирпич по ГОСТ 530-2012: изготовлен полнотелым» и «Класс средней плотности изделия по ГОСТ 530-2012: 1.4». Согласно таблице 9 ГОСТ 530-2012 полнотелый кирпич может быть только классов средней плотности 2.0 и 2.4. Таким образом, сведения, предоставленные Участником</w:t>
      </w:r>
      <w:r>
        <w:rPr>
          <w:rStyle w:val="CharStyle27"/>
          <w:i w:val="0"/>
          <w:iCs w:val="0"/>
        </w:rPr>
        <w:t xml:space="preserve">. </w:t>
      </w:r>
      <w:r>
        <w:rPr>
          <w:lang w:val="ru-RU" w:eastAsia="ru-RU" w:bidi="ru-RU"/>
          <w:w w:val="100"/>
          <w:spacing w:val="0"/>
          <w:color w:val="000000"/>
          <w:position w:val="0"/>
        </w:rPr>
        <w:t>являются недостоверными.</w:t>
      </w:r>
    </w:p>
    <w:p>
      <w:pPr>
        <w:pStyle w:val="Style25"/>
        <w:widowControl w:val="0"/>
        <w:keepNext w:val="0"/>
        <w:keepLines w:val="0"/>
        <w:shd w:val="clear" w:color="auto" w:fill="auto"/>
        <w:bidi w:val="0"/>
        <w:spacing w:before="0" w:after="0"/>
        <w:ind w:left="40" w:right="40"/>
      </w:pPr>
      <w:r>
        <w:rPr>
          <w:lang w:val="ru-RU" w:eastAsia="ru-RU" w:bidi="ru-RU"/>
          <w:w w:val="100"/>
          <w:spacing w:val="0"/>
          <w:color w:val="000000"/>
          <w:position w:val="0"/>
        </w:rPr>
        <w:t>В соответствии с п.1 ч.4 статьи 67 Федерального закона от 5 апреля 2013г. №44-ФЗ: "Непредоставления информации, предусмотренной частью 3 статьи 66 настоящего Федерального закона.</w:t>
      </w:r>
    </w:p>
    <w:p>
      <w:pPr>
        <w:pStyle w:val="Style25"/>
        <w:widowControl w:val="0"/>
        <w:keepNext w:val="0"/>
        <w:keepLines w:val="0"/>
        <w:shd w:val="clear" w:color="auto" w:fill="auto"/>
        <w:bidi w:val="0"/>
        <w:spacing w:before="0" w:after="0"/>
        <w:ind w:left="40" w:right="40"/>
      </w:pPr>
      <w:r>
        <w:rPr>
          <w:lang w:val="ru-RU" w:eastAsia="ru-RU" w:bidi="ru-RU"/>
          <w:w w:val="100"/>
          <w:spacing w:val="0"/>
          <w:color w:val="000000"/>
          <w:position w:val="0"/>
        </w:rPr>
        <w:t>В п.6 «Пена монтажная» Участником не указан товарный знак предприятия- изготовителя. Согласно ГОСТ Р 51697-2000 п.3.3.1.2 указание товарного знака предприятия изготовителя является обязательным».</w:t>
      </w:r>
    </w:p>
    <w:p>
      <w:pPr>
        <w:pStyle w:val="Style17"/>
        <w:widowControl w:val="0"/>
        <w:keepNext w:val="0"/>
        <w:keepLines w:val="0"/>
        <w:shd w:val="clear" w:color="auto" w:fill="auto"/>
        <w:bidi w:val="0"/>
        <w:spacing w:before="0" w:after="0" w:line="274" w:lineRule="exact"/>
        <w:ind w:left="40" w:right="0" w:firstLine="560"/>
      </w:pPr>
      <w:r>
        <w:rPr>
          <w:lang w:val="ru-RU" w:eastAsia="ru-RU" w:bidi="ru-RU"/>
          <w:w w:val="100"/>
          <w:spacing w:val="0"/>
          <w:color w:val="000000"/>
          <w:position w:val="0"/>
        </w:rPr>
        <w:t>Заявитель считает указанное решение аукционной комиссии незаконным, поскольку:</w:t>
      </w:r>
    </w:p>
    <w:p>
      <w:pPr>
        <w:pStyle w:val="Style17"/>
        <w:numPr>
          <w:ilvl w:val="0"/>
          <w:numId w:val="1"/>
        </w:numPr>
        <w:widowControl w:val="0"/>
        <w:keepNext w:val="0"/>
        <w:keepLines w:val="0"/>
        <w:shd w:val="clear" w:color="auto" w:fill="auto"/>
        <w:bidi w:val="0"/>
        <w:spacing w:before="0" w:after="0" w:line="274" w:lineRule="exact"/>
        <w:ind w:left="40" w:right="40" w:firstLine="560"/>
      </w:pPr>
      <w:r>
        <w:rPr>
          <w:lang w:val="ru-RU" w:eastAsia="ru-RU" w:bidi="ru-RU"/>
          <w:w w:val="100"/>
          <w:spacing w:val="0"/>
          <w:color w:val="000000"/>
          <w:position w:val="0"/>
        </w:rPr>
        <w:t xml:space="preserve"> Участником по п.5 «Лента» требования Заказчика прописаны не в соответствии с ГОСТ 53338-2009. .Представленное в заявке значение минимальной температуры соответствует ее исполнению.</w:t>
      </w:r>
    </w:p>
    <w:p>
      <w:pPr>
        <w:pStyle w:val="Style17"/>
        <w:numPr>
          <w:ilvl w:val="0"/>
          <w:numId w:val="1"/>
        </w:numPr>
        <w:widowControl w:val="0"/>
        <w:keepNext w:val="0"/>
        <w:keepLines w:val="0"/>
        <w:shd w:val="clear" w:color="auto" w:fill="auto"/>
        <w:bidi w:val="0"/>
        <w:spacing w:before="0" w:after="0" w:line="274" w:lineRule="exact"/>
        <w:ind w:left="40" w:right="40" w:firstLine="560"/>
      </w:pPr>
      <w:r>
        <w:rPr>
          <w:lang w:val="ru-RU" w:eastAsia="ru-RU" w:bidi="ru-RU"/>
          <w:w w:val="100"/>
          <w:spacing w:val="0"/>
          <w:color w:val="000000"/>
          <w:position w:val="0"/>
        </w:rPr>
        <w:t xml:space="preserve"> Показатели, представленные в составе заявке участником по п. 18 «Кирпич керамический рядовой и клинкерный» полностью соответствуют требованиям технического задания и ГОСТе 530-2012.</w:t>
      </w:r>
    </w:p>
    <w:p>
      <w:pPr>
        <w:pStyle w:val="Style17"/>
        <w:numPr>
          <w:ilvl w:val="0"/>
          <w:numId w:val="1"/>
        </w:numPr>
        <w:widowControl w:val="0"/>
        <w:keepNext w:val="0"/>
        <w:keepLines w:val="0"/>
        <w:shd w:val="clear" w:color="auto" w:fill="auto"/>
        <w:bidi w:val="0"/>
        <w:spacing w:before="0" w:after="0" w:line="274" w:lineRule="exact"/>
        <w:ind w:left="40" w:right="40" w:firstLine="560"/>
      </w:pPr>
      <w:r>
        <w:rPr>
          <w:lang w:val="ru-RU" w:eastAsia="ru-RU" w:bidi="ru-RU"/>
          <w:w w:val="100"/>
          <w:spacing w:val="0"/>
          <w:color w:val="000000"/>
          <w:position w:val="0"/>
        </w:rPr>
        <w:t xml:space="preserve"> Товарный знак предприятия изготовителя в заявке не был указан по причине его отсутствия, поскольку Участник на момент заполнения заявки не имел в наличии товар по п. 6 «Пена монтажная».</w:t>
      </w:r>
    </w:p>
    <w:p>
      <w:pPr>
        <w:pStyle w:val="Style17"/>
        <w:widowControl w:val="0"/>
        <w:keepNext w:val="0"/>
        <w:keepLines w:val="0"/>
        <w:shd w:val="clear" w:color="auto" w:fill="auto"/>
        <w:bidi w:val="0"/>
        <w:spacing w:before="0" w:after="0" w:line="274" w:lineRule="exact"/>
        <w:ind w:left="40" w:right="40" w:firstLine="560"/>
      </w:pPr>
      <w:r>
        <w:rPr>
          <w:lang w:val="ru-RU" w:eastAsia="ru-RU" w:bidi="ru-RU"/>
          <w:w w:val="100"/>
          <w:spacing w:val="0"/>
          <w:color w:val="000000"/>
          <w:position w:val="0"/>
        </w:rPr>
        <w:t>На основании изложенного, Заявитель просит приостановить осуществление закупки, выдать предписание об устранении допущенных нарушений.</w:t>
      </w:r>
    </w:p>
    <w:p>
      <w:pPr>
        <w:pStyle w:val="Style17"/>
        <w:widowControl w:val="0"/>
        <w:keepNext w:val="0"/>
        <w:keepLines w:val="0"/>
        <w:shd w:val="clear" w:color="auto" w:fill="auto"/>
        <w:bidi w:val="0"/>
        <w:spacing w:before="0" w:after="0" w:line="274" w:lineRule="exact"/>
        <w:ind w:left="40" w:right="40" w:firstLine="560"/>
      </w:pPr>
      <w:r>
        <w:rPr>
          <w:lang w:val="ru-RU" w:eastAsia="ru-RU" w:bidi="ru-RU"/>
          <w:w w:val="100"/>
          <w:spacing w:val="0"/>
          <w:color w:val="000000"/>
          <w:position w:val="0"/>
        </w:rPr>
        <w:t>Представитель Заказчика представил документы по запросу, по доводам жалобы пояснил, что считает ее необоснованной.</w:t>
      </w:r>
    </w:p>
    <w:p>
      <w:pPr>
        <w:pStyle w:val="Style17"/>
        <w:widowControl w:val="0"/>
        <w:keepNext w:val="0"/>
        <w:keepLines w:val="0"/>
        <w:shd w:val="clear" w:color="auto" w:fill="auto"/>
        <w:bidi w:val="0"/>
        <w:spacing w:before="0" w:after="0" w:line="274" w:lineRule="exact"/>
        <w:ind w:left="40" w:right="40" w:firstLine="560"/>
      </w:pPr>
      <w:r>
        <w:rPr>
          <w:lang w:val="ru-RU" w:eastAsia="ru-RU" w:bidi="ru-RU"/>
          <w:w w:val="100"/>
          <w:spacing w:val="0"/>
          <w:color w:val="000000"/>
          <w:position w:val="0"/>
        </w:rPr>
        <w:t>Заслушав пояснения лиц, участвующих в деле, а также изучив представленные документы в ходе проведения внеплановой проверки, Комиссия У ФАС по Алтайскому краю по контролю в сфере закупок пришла к следующим выводам:</w:t>
      </w:r>
    </w:p>
    <w:p>
      <w:pPr>
        <w:pStyle w:val="Style17"/>
        <w:widowControl w:val="0"/>
        <w:keepNext w:val="0"/>
        <w:keepLines w:val="0"/>
        <w:shd w:val="clear" w:color="auto" w:fill="auto"/>
        <w:bidi w:val="0"/>
        <w:spacing w:before="0" w:after="0" w:line="274" w:lineRule="exact"/>
        <w:ind w:left="40" w:right="40" w:firstLine="560"/>
      </w:pPr>
      <w:r>
        <w:rPr>
          <w:lang w:val="ru-RU" w:eastAsia="ru-RU" w:bidi="ru-RU"/>
          <w:w w:val="100"/>
          <w:spacing w:val="0"/>
          <w:color w:val="000000"/>
          <w:position w:val="0"/>
        </w:rPr>
        <w:t>П. 2 ч. 1 ст. 64 Закона о контрактной системе установлено, что документация об электронном аукционе должна содержать требования к содержанию, составу заявки на участие в таком аукционе в соответствии с ч. 3 - 6 ст. 66 Закона о контрактной системе и инструкцию по ее заполнению.</w:t>
      </w:r>
    </w:p>
    <w:p>
      <w:pPr>
        <w:pStyle w:val="Style17"/>
        <w:widowControl w:val="0"/>
        <w:keepNext w:val="0"/>
        <w:keepLines w:val="0"/>
        <w:shd w:val="clear" w:color="auto" w:fill="auto"/>
        <w:bidi w:val="0"/>
        <w:spacing w:before="0" w:after="0" w:line="269" w:lineRule="exact"/>
        <w:ind w:left="40" w:right="40" w:firstLine="560"/>
      </w:pPr>
      <w:r>
        <w:rPr>
          <w:lang w:val="ru-RU" w:eastAsia="ru-RU" w:bidi="ru-RU"/>
          <w:w w:val="100"/>
          <w:spacing w:val="0"/>
          <w:color w:val="000000"/>
          <w:position w:val="0"/>
        </w:rPr>
        <w:t>В соответствии с п.п. б) п. 3 ч. 3 ст. 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согласие, предусмотренное пунктом 2 настоящей части, а также конкретные</w:t>
      </w:r>
    </w:p>
    <w:p>
      <w:pPr>
        <w:pStyle w:val="Style17"/>
        <w:widowControl w:val="0"/>
        <w:keepNext w:val="0"/>
        <w:keepLines w:val="0"/>
        <w:shd w:val="clear" w:color="auto" w:fill="auto"/>
        <w:bidi w:val="0"/>
        <w:spacing w:before="0" w:after="0" w:line="274" w:lineRule="exact"/>
        <w:ind w:left="20" w:right="200" w:firstLine="0"/>
      </w:pPr>
      <w:r>
        <w:rPr>
          <w:lang w:val="ru-RU" w:eastAsia="ru-RU" w:bidi="ru-RU"/>
          <w:w w:val="100"/>
          <w:spacing w:val="0"/>
          <w:color w:val="000000"/>
          <w:position w:val="0"/>
        </w:rPr>
        <w:t>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7"/>
        <w:widowControl w:val="0"/>
        <w:keepNext w:val="0"/>
        <w:keepLines w:val="0"/>
        <w:shd w:val="clear" w:color="auto" w:fill="auto"/>
        <w:bidi w:val="0"/>
        <w:jc w:val="left"/>
        <w:spacing w:before="0" w:after="0" w:line="274" w:lineRule="exact"/>
        <w:ind w:left="20" w:right="200" w:firstLine="560"/>
      </w:pPr>
      <w:r>
        <w:rPr>
          <w:lang w:val="ru-RU" w:eastAsia="ru-RU" w:bidi="ru-RU"/>
          <w:w w:val="100"/>
          <w:spacing w:val="0"/>
          <w:color w:val="000000"/>
          <w:position w:val="0"/>
        </w:rPr>
        <w:t>Аналогичное требование к составу первой части заявки содержится в документации о закупке.</w:t>
      </w:r>
    </w:p>
    <w:p>
      <w:pPr>
        <w:pStyle w:val="Style17"/>
        <w:widowControl w:val="0"/>
        <w:keepNext w:val="0"/>
        <w:keepLines w:val="0"/>
        <w:shd w:val="clear" w:color="auto" w:fill="auto"/>
        <w:bidi w:val="0"/>
        <w:jc w:val="left"/>
        <w:spacing w:before="0" w:after="0" w:line="274" w:lineRule="exact"/>
        <w:ind w:left="20" w:right="200" w:firstLine="560"/>
      </w:pPr>
      <w:r>
        <w:rPr>
          <w:lang w:val="ru-RU" w:eastAsia="ru-RU" w:bidi="ru-RU"/>
          <w:w w:val="100"/>
          <w:spacing w:val="0"/>
          <w:color w:val="000000"/>
          <w:position w:val="0"/>
        </w:rPr>
        <w:t>В п. 5 «Лента» технического задания заказчиком установлены требования к характеристикам товара:</w:t>
      </w:r>
    </w:p>
    <w:p>
      <w:pPr>
        <w:pStyle w:val="Style17"/>
        <w:numPr>
          <w:ilvl w:val="0"/>
          <w:numId w:val="1"/>
        </w:numPr>
        <w:widowControl w:val="0"/>
        <w:keepNext w:val="0"/>
        <w:keepLines w:val="0"/>
        <w:shd w:val="clear" w:color="auto" w:fill="auto"/>
        <w:bidi w:val="0"/>
        <w:jc w:val="left"/>
        <w:spacing w:before="0" w:after="0" w:line="274" w:lineRule="exact"/>
        <w:ind w:left="20" w:right="200" w:firstLine="560"/>
      </w:pPr>
      <w:r>
        <w:rPr>
          <w:lang w:val="ru-RU" w:eastAsia="ru-RU" w:bidi="ru-RU"/>
          <w:w w:val="100"/>
          <w:spacing w:val="0"/>
          <w:color w:val="000000"/>
          <w:position w:val="0"/>
        </w:rPr>
        <w:t xml:space="preserve"> вид исполнения в зависимости от стойкости минусовых температур по ГОСТ 53338- 2009-1, II. М.</w:t>
      </w:r>
    </w:p>
    <w:p>
      <w:pPr>
        <w:pStyle w:val="Style17"/>
        <w:numPr>
          <w:ilvl w:val="0"/>
          <w:numId w:val="1"/>
        </w:numPr>
        <w:widowControl w:val="0"/>
        <w:keepNext w:val="0"/>
        <w:keepLines w:val="0"/>
        <w:shd w:val="clear" w:color="auto" w:fill="auto"/>
        <w:bidi w:val="0"/>
        <w:jc w:val="left"/>
        <w:spacing w:before="0" w:after="0" w:line="274" w:lineRule="exact"/>
        <w:ind w:left="20" w:right="0" w:firstLine="560"/>
      </w:pPr>
      <w:r>
        <w:rPr>
          <w:lang w:val="ru-RU" w:eastAsia="ru-RU" w:bidi="ru-RU"/>
          <w:w w:val="100"/>
          <w:spacing w:val="0"/>
          <w:color w:val="000000"/>
          <w:position w:val="0"/>
        </w:rPr>
        <w:t xml:space="preserve"> Минимальная температура эксплуатации по ГОСТ 53338-2009 - от - 26.</w:t>
      </w:r>
    </w:p>
    <w:p>
      <w:pPr>
        <w:pStyle w:val="Style17"/>
        <w:widowControl w:val="0"/>
        <w:keepNext w:val="0"/>
        <w:keepLines w:val="0"/>
        <w:shd w:val="clear" w:color="auto" w:fill="auto"/>
        <w:bidi w:val="0"/>
        <w:jc w:val="left"/>
        <w:spacing w:before="0" w:after="0" w:line="274" w:lineRule="exact"/>
        <w:ind w:left="20" w:right="200" w:firstLine="560"/>
      </w:pPr>
      <w:r>
        <w:rPr>
          <w:lang w:val="ru-RU" w:eastAsia="ru-RU" w:bidi="ru-RU"/>
          <w:w w:val="100"/>
          <w:spacing w:val="0"/>
          <w:color w:val="000000"/>
          <w:position w:val="0"/>
        </w:rPr>
        <w:t xml:space="preserve">Вместе с тем, ГО С'Г 53338-2009 не содержит характеристики </w:t>
      </w:r>
      <w:r>
        <w:rPr>
          <w:rStyle w:val="CharStyle24"/>
        </w:rPr>
        <w:t>«минимальная температура эксплуатацию).</w:t>
      </w:r>
    </w:p>
    <w:p>
      <w:pPr>
        <w:pStyle w:val="Style17"/>
        <w:widowControl w:val="0"/>
        <w:keepNext w:val="0"/>
        <w:keepLines w:val="0"/>
        <w:shd w:val="clear" w:color="auto" w:fill="auto"/>
        <w:bidi w:val="0"/>
        <w:jc w:val="left"/>
        <w:spacing w:before="0" w:after="0" w:line="274" w:lineRule="exact"/>
        <w:ind w:left="20" w:right="200" w:firstLine="560"/>
      </w:pPr>
      <w:r>
        <w:rPr>
          <w:lang w:val="ru-RU" w:eastAsia="ru-RU" w:bidi="ru-RU"/>
          <w:w w:val="100"/>
          <w:spacing w:val="0"/>
          <w:color w:val="000000"/>
          <w:position w:val="0"/>
        </w:rPr>
        <w:t>Кроме того, документация об электронном аукционе не содержит обоснования использования нестандартных показателей.</w:t>
      </w:r>
    </w:p>
    <w:p>
      <w:pPr>
        <w:pStyle w:val="Style17"/>
        <w:widowControl w:val="0"/>
        <w:keepNext w:val="0"/>
        <w:keepLines w:val="0"/>
        <w:shd w:val="clear" w:color="auto" w:fill="auto"/>
        <w:bidi w:val="0"/>
        <w:jc w:val="left"/>
        <w:spacing w:before="0" w:after="0" w:line="274" w:lineRule="exact"/>
        <w:ind w:left="20" w:right="200" w:firstLine="560"/>
      </w:pPr>
      <w:r>
        <w:rPr>
          <w:lang w:val="ru-RU" w:eastAsia="ru-RU" w:bidi="ru-RU"/>
          <w:w w:val="100"/>
          <w:spacing w:val="0"/>
          <w:color w:val="000000"/>
          <w:position w:val="0"/>
        </w:rPr>
        <w:t>Показатели представленные в составе заявки на участие в электронном аукционе соответствуют требованиям документации об электронном аукционе и ГОСТ 53338-2009.</w:t>
      </w:r>
    </w:p>
    <w:p>
      <w:pPr>
        <w:pStyle w:val="Style17"/>
        <w:widowControl w:val="0"/>
        <w:keepNext w:val="0"/>
        <w:keepLines w:val="0"/>
        <w:shd w:val="clear" w:color="auto" w:fill="auto"/>
        <w:bidi w:val="0"/>
        <w:jc w:val="left"/>
        <w:spacing w:before="0" w:after="0" w:line="274" w:lineRule="exact"/>
        <w:ind w:left="20" w:right="200" w:firstLine="560"/>
      </w:pPr>
      <w:r>
        <w:rPr>
          <w:lang w:val="ru-RU" w:eastAsia="ru-RU" w:bidi="ru-RU"/>
          <w:w w:val="100"/>
          <w:spacing w:val="0"/>
          <w:color w:val="000000"/>
          <w:position w:val="0"/>
        </w:rPr>
        <w:t>В п. 18 «Кирпич керамический рядовой и клинкерный» технического задания заказчиком установлены требования к характеристикам товара:</w:t>
      </w:r>
    </w:p>
    <w:p>
      <w:pPr>
        <w:pStyle w:val="Style17"/>
        <w:numPr>
          <w:ilvl w:val="0"/>
          <w:numId w:val="1"/>
        </w:numPr>
        <w:widowControl w:val="0"/>
        <w:keepNext w:val="0"/>
        <w:keepLines w:val="0"/>
        <w:shd w:val="clear" w:color="auto" w:fill="auto"/>
        <w:bidi w:val="0"/>
        <w:jc w:val="left"/>
        <w:spacing w:before="0" w:after="0" w:line="274" w:lineRule="exact"/>
        <w:ind w:left="20" w:right="0" w:firstLine="560"/>
      </w:pPr>
      <w:r>
        <w:rPr>
          <w:lang w:val="ru-RU" w:eastAsia="ru-RU" w:bidi="ru-RU"/>
          <w:w w:val="100"/>
          <w:spacing w:val="0"/>
          <w:color w:val="000000"/>
          <w:position w:val="0"/>
        </w:rPr>
        <w:t xml:space="preserve"> кирпич по ГОСТ 530-2012 -изготовлен полнотелым или пустотелым.</w:t>
      </w:r>
    </w:p>
    <w:p>
      <w:pPr>
        <w:pStyle w:val="Style17"/>
        <w:numPr>
          <w:ilvl w:val="0"/>
          <w:numId w:val="1"/>
        </w:numPr>
        <w:widowControl w:val="0"/>
        <w:keepNext w:val="0"/>
        <w:keepLines w:val="0"/>
        <w:shd w:val="clear" w:color="auto" w:fill="auto"/>
        <w:bidi w:val="0"/>
        <w:jc w:val="left"/>
        <w:spacing w:before="0" w:after="0" w:line="274" w:lineRule="exact"/>
        <w:ind w:left="20" w:right="0" w:firstLine="560"/>
      </w:pPr>
      <w:r>
        <w:rPr>
          <w:lang w:val="ru-RU" w:eastAsia="ru-RU" w:bidi="ru-RU"/>
          <w:w w:val="100"/>
          <w:spacing w:val="0"/>
          <w:color w:val="000000"/>
          <w:position w:val="0"/>
        </w:rPr>
        <w:t xml:space="preserve"> класс средней плотности изделия по ГОСТ 530-2012- 1.4 или 2.0 или 2.4.</w:t>
      </w:r>
    </w:p>
    <w:p>
      <w:pPr>
        <w:pStyle w:val="Style17"/>
        <w:widowControl w:val="0"/>
        <w:keepNext w:val="0"/>
        <w:keepLines w:val="0"/>
        <w:shd w:val="clear" w:color="auto" w:fill="auto"/>
        <w:bidi w:val="0"/>
        <w:jc w:val="left"/>
        <w:spacing w:before="0" w:after="0" w:line="274" w:lineRule="exact"/>
        <w:ind w:left="20" w:right="0" w:firstLine="560"/>
      </w:pPr>
      <w:r>
        <w:rPr>
          <w:lang w:val="ru-RU" w:eastAsia="ru-RU" w:bidi="ru-RU"/>
          <w:w w:val="100"/>
          <w:spacing w:val="0"/>
          <w:color w:val="000000"/>
          <w:position w:val="0"/>
        </w:rPr>
        <w:t>Согласно Г ОСТ 530-2012 п.9.1: Кирпич применяют с учетом требований действующих</w:t>
      </w:r>
    </w:p>
    <w:p>
      <w:pPr>
        <w:pStyle w:val="Style17"/>
        <w:widowControl w:val="0"/>
        <w:keepNext w:val="0"/>
        <w:keepLines w:val="0"/>
        <w:shd w:val="clear" w:color="auto" w:fill="auto"/>
        <w:bidi w:val="0"/>
        <w:spacing w:before="0" w:after="0" w:line="274" w:lineRule="exact"/>
        <w:ind w:left="20" w:right="200" w:firstLine="0"/>
      </w:pPr>
      <w:r>
        <w:rPr>
          <w:lang w:val="ru-RU" w:eastAsia="ru-RU" w:bidi="ru-RU"/>
          <w:w w:val="100"/>
          <w:spacing w:val="0"/>
          <w:color w:val="000000"/>
          <w:position w:val="0"/>
        </w:rPr>
        <w:t>нормативных документов на проектирование, производство работ (строительных норм и правил, сводов правил) и стандартов в соответствии с проектной документацией по возведению зданий и сооружений. А условия применения изделий других видов приведены в таблице 9.</w:t>
      </w:r>
    </w:p>
    <w:p>
      <w:pPr>
        <w:pStyle w:val="Style17"/>
        <w:widowControl w:val="0"/>
        <w:keepNext w:val="0"/>
        <w:keepLines w:val="0"/>
        <w:shd w:val="clear" w:color="auto" w:fill="auto"/>
        <w:bidi w:val="0"/>
        <w:spacing w:before="0" w:after="425" w:line="274" w:lineRule="exact"/>
        <w:ind w:left="20" w:right="200" w:firstLine="720"/>
      </w:pPr>
      <w:r>
        <w:rPr>
          <w:lang w:val="ru-RU" w:eastAsia="ru-RU" w:bidi="ru-RU"/>
          <w:w w:val="100"/>
          <w:spacing w:val="0"/>
          <w:color w:val="000000"/>
          <w:position w:val="0"/>
        </w:rPr>
        <w:t>Исходя из выше сказанного, участник может использовать тот кирпич, который предусмотрен проектной документацией, либо участник может руководствоваться таблицей 9 ГОСТа 530-2012 - применить тот кирпич, который предусмотрен для определённых условий применения изделий, указанных в данной таблице.</w:t>
      </w:r>
    </w:p>
    <w:p>
      <w:pPr>
        <w:pStyle w:val="Style28"/>
        <w:framePr w:w="8280" w:wrap="notBeside" w:vAnchor="text" w:hAnchor="text" w:xAlign="center" w:y="1"/>
        <w:widowControl w:val="0"/>
        <w:keepNext w:val="0"/>
        <w:keepLines w:val="0"/>
        <w:shd w:val="clear" w:color="auto" w:fill="auto"/>
        <w:bidi w:val="0"/>
        <w:jc w:val="left"/>
        <w:spacing w:before="0" w:after="0" w:line="120" w:lineRule="exact"/>
        <w:ind w:left="0" w:right="0" w:firstLine="0"/>
      </w:pPr>
      <w:r>
        <w:rPr>
          <w:lang w:val="ru-RU" w:eastAsia="ru-RU" w:bidi="ru-RU"/>
          <w:spacing w:val="0"/>
          <w:color w:val="000000"/>
          <w:position w:val="0"/>
        </w:rPr>
        <w:t>Таблица 1 - Группы изделий по теплотехническим характеристикам</w:t>
      </w:r>
    </w:p>
    <w:tbl>
      <w:tblPr>
        <w:tblOverlap w:val="never"/>
        <w:tblLayout w:type="fixed"/>
        <w:jc w:val="center"/>
      </w:tblPr>
      <w:tblGrid>
        <w:gridCol w:w="3336"/>
        <w:gridCol w:w="4944"/>
      </w:tblGrid>
      <w:tr>
        <w:trPr>
          <w:trHeight w:val="446" w:hRule="exact"/>
        </w:trPr>
        <w:tc>
          <w:tcPr>
            <w:shd w:val="clear" w:color="auto" w:fill="FFFFFF"/>
            <w:tcBorders>
              <w:lef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center"/>
              <w:spacing w:before="0" w:after="0" w:line="173" w:lineRule="exact"/>
              <w:ind w:left="0" w:right="0" w:firstLine="0"/>
            </w:pPr>
            <w:r>
              <w:rPr>
                <w:rStyle w:val="CharStyle30"/>
              </w:rPr>
              <w:t>Класс средней плотности изделия</w:t>
            </w:r>
          </w:p>
        </w:tc>
        <w:tc>
          <w:tcPr>
            <w:shd w:val="clear" w:color="auto" w:fill="FFFFFF"/>
            <w:tcBorders>
              <w:left w:val="single" w:sz="4"/>
              <w:righ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center"/>
              <w:spacing w:before="0" w:after="0" w:line="168" w:lineRule="exact"/>
              <w:ind w:left="0" w:right="0" w:firstLine="0"/>
            </w:pPr>
            <w:r>
              <w:rPr>
                <w:rStyle w:val="CharStyle30"/>
              </w:rPr>
              <w:t xml:space="preserve">Группа изделий по теплотехническим характеристика </w:t>
            </w:r>
            <w:r>
              <w:rPr>
                <w:rStyle w:val="CharStyle31"/>
              </w:rPr>
              <w:t>м</w:t>
            </w:r>
          </w:p>
        </w:tc>
      </w:tr>
      <w:tr>
        <w:trPr>
          <w:trHeight w:val="293" w:hRule="exact"/>
        </w:trPr>
        <w:tc>
          <w:tcPr>
            <w:shd w:val="clear" w:color="auto" w:fill="FFFFFF"/>
            <w:tcBorders>
              <w:lef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30"/>
              </w:rPr>
              <w:t>0.7</w:t>
            </w:r>
          </w:p>
        </w:tc>
        <w:tc>
          <w:tcPr>
            <w:shd w:val="clear" w:color="auto" w:fill="FFFFFF"/>
            <w:tcBorders>
              <w:left w:val="single" w:sz="4"/>
              <w:righ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left"/>
              <w:spacing w:before="0" w:after="0" w:line="120" w:lineRule="exact"/>
              <w:ind w:left="120" w:right="0" w:firstLine="0"/>
            </w:pPr>
            <w:r>
              <w:rPr>
                <w:rStyle w:val="CharStyle30"/>
              </w:rPr>
              <w:t>Высокой эффективности</w:t>
            </w:r>
          </w:p>
        </w:tc>
      </w:tr>
      <w:tr>
        <w:trPr>
          <w:trHeight w:val="293" w:hRule="exact"/>
        </w:trPr>
        <w:tc>
          <w:tcPr>
            <w:shd w:val="clear" w:color="auto" w:fill="FFFFFF"/>
            <w:tcBorders>
              <w:left w:val="single" w:sz="4"/>
            </w:tcBorders>
            <w:vAlign w:val="center"/>
          </w:tcPr>
          <w:p>
            <w:pPr>
              <w:pStyle w:val="Style17"/>
              <w:framePr w:w="8280"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30"/>
                <w:lang w:val="en-US" w:eastAsia="en-US" w:bidi="en-US"/>
              </w:rPr>
              <w:t>O.S</w:t>
            </w:r>
          </w:p>
        </w:tc>
        <w:tc>
          <w:tcPr>
            <w:shd w:val="clear" w:color="auto" w:fill="FFFFFF"/>
            <w:tcBorders>
              <w:left w:val="single" w:sz="4"/>
              <w:right w:val="single" w:sz="4"/>
            </w:tcBorders>
            <w:vAlign w:val="top"/>
          </w:tcPr>
          <w:p>
            <w:pPr>
              <w:framePr w:w="8280" w:wrap="notBeside" w:vAnchor="text" w:hAnchor="text" w:xAlign="center" w:y="1"/>
              <w:widowControl w:val="0"/>
              <w:rPr>
                <w:sz w:val="10"/>
                <w:szCs w:val="10"/>
              </w:rPr>
            </w:pPr>
          </w:p>
        </w:tc>
      </w:tr>
      <w:tr>
        <w:trPr>
          <w:trHeight w:val="269" w:hRule="exact"/>
        </w:trPr>
        <w:tc>
          <w:tcPr>
            <w:shd w:val="clear" w:color="auto" w:fill="FFFFFF"/>
            <w:tcBorders>
              <w:lef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30"/>
              </w:rPr>
              <w:t>1 .О</w:t>
            </w:r>
          </w:p>
        </w:tc>
        <w:tc>
          <w:tcPr>
            <w:shd w:val="clear" w:color="auto" w:fill="FFFFFF"/>
            <w:tcBorders>
              <w:left w:val="single" w:sz="4"/>
              <w:righ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left"/>
              <w:spacing w:before="0" w:after="0" w:line="120" w:lineRule="exact"/>
              <w:ind w:left="120" w:right="0" w:firstLine="0"/>
            </w:pPr>
            <w:r>
              <w:rPr>
                <w:rStyle w:val="CharStyle30"/>
              </w:rPr>
              <w:t>Повышенной эффективности</w:t>
            </w:r>
          </w:p>
        </w:tc>
      </w:tr>
      <w:tr>
        <w:trPr>
          <w:trHeight w:val="264" w:hRule="exact"/>
        </w:trPr>
        <w:tc>
          <w:tcPr>
            <w:shd w:val="clear" w:color="auto" w:fill="FFFFFF"/>
            <w:tcBorders>
              <w:lef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30"/>
              </w:rPr>
              <w:t>1 .2</w:t>
            </w:r>
          </w:p>
        </w:tc>
        <w:tc>
          <w:tcPr>
            <w:shd w:val="clear" w:color="auto" w:fill="FFFFFF"/>
            <w:tcBorders>
              <w:left w:val="single" w:sz="4"/>
              <w:righ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left"/>
              <w:spacing w:before="0" w:after="0" w:line="120" w:lineRule="exact"/>
              <w:ind w:left="120" w:right="0" w:firstLine="0"/>
            </w:pPr>
            <w:r>
              <w:rPr>
                <w:rStyle w:val="CharStyle30"/>
              </w:rPr>
              <w:t>Эффективные</w:t>
            </w:r>
          </w:p>
        </w:tc>
      </w:tr>
      <w:tr>
        <w:trPr>
          <w:trHeight w:val="283" w:hRule="exact"/>
        </w:trPr>
        <w:tc>
          <w:tcPr>
            <w:shd w:val="clear" w:color="auto" w:fill="FFFFFF"/>
            <w:tcBorders>
              <w:lef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30"/>
              </w:rPr>
              <w:t>1 .4</w:t>
            </w:r>
          </w:p>
        </w:tc>
        <w:tc>
          <w:tcPr>
            <w:shd w:val="clear" w:color="auto" w:fill="FFFFFF"/>
            <w:tcBorders>
              <w:left w:val="single" w:sz="4"/>
              <w:righ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left"/>
              <w:spacing w:before="0" w:after="0" w:line="120" w:lineRule="exact"/>
              <w:ind w:left="120" w:right="0" w:firstLine="0"/>
            </w:pPr>
            <w:r>
              <w:rPr>
                <w:rStyle w:val="CharStyle30"/>
              </w:rPr>
              <w:t>Условно-эффективные</w:t>
            </w:r>
          </w:p>
        </w:tc>
      </w:tr>
      <w:tr>
        <w:trPr>
          <w:trHeight w:val="317" w:hRule="exact"/>
        </w:trPr>
        <w:tc>
          <w:tcPr>
            <w:shd w:val="clear" w:color="auto" w:fill="FFFFFF"/>
            <w:tcBorders>
              <w:lef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30"/>
              </w:rPr>
              <w:t>2.0.</w:t>
            </w:r>
          </w:p>
        </w:tc>
        <w:tc>
          <w:tcPr>
            <w:shd w:val="clear" w:color="auto" w:fill="FFFFFF"/>
            <w:tcBorders>
              <w:left w:val="single" w:sz="4"/>
              <w:right w:val="single" w:sz="4"/>
              <w:top w:val="single" w:sz="4"/>
            </w:tcBorders>
            <w:vAlign w:val="center"/>
          </w:tcPr>
          <w:p>
            <w:pPr>
              <w:pStyle w:val="Style17"/>
              <w:framePr w:w="8280" w:wrap="notBeside" w:vAnchor="text" w:hAnchor="text" w:xAlign="center" w:y="1"/>
              <w:widowControl w:val="0"/>
              <w:keepNext w:val="0"/>
              <w:keepLines w:val="0"/>
              <w:shd w:val="clear" w:color="auto" w:fill="auto"/>
              <w:bidi w:val="0"/>
              <w:jc w:val="left"/>
              <w:spacing w:before="0" w:after="0" w:line="120" w:lineRule="exact"/>
              <w:ind w:left="120" w:right="0" w:firstLine="0"/>
            </w:pPr>
            <w:r>
              <w:rPr>
                <w:rStyle w:val="CharStyle30"/>
              </w:rPr>
              <w:t>Малоэффективные (обыкновенные)</w:t>
            </w:r>
          </w:p>
        </w:tc>
      </w:tr>
      <w:tr>
        <w:trPr>
          <w:trHeight w:val="336" w:hRule="exact"/>
        </w:trPr>
        <w:tc>
          <w:tcPr>
            <w:shd w:val="clear" w:color="auto" w:fill="FFFFFF"/>
            <w:tcBorders>
              <w:left w:val="single" w:sz="4"/>
              <w:bottom w:val="single" w:sz="4"/>
            </w:tcBorders>
            <w:vAlign w:val="center"/>
          </w:tcPr>
          <w:p>
            <w:pPr>
              <w:pStyle w:val="Style17"/>
              <w:framePr w:w="8280" w:wrap="notBeside" w:vAnchor="text" w:hAnchor="text" w:xAlign="center" w:y="1"/>
              <w:widowControl w:val="0"/>
              <w:keepNext w:val="0"/>
              <w:keepLines w:val="0"/>
              <w:shd w:val="clear" w:color="auto" w:fill="auto"/>
              <w:bidi w:val="0"/>
              <w:jc w:val="center"/>
              <w:spacing w:before="0" w:after="0" w:line="120" w:lineRule="exact"/>
              <w:ind w:left="0" w:right="0" w:firstLine="0"/>
            </w:pPr>
            <w:r>
              <w:rPr>
                <w:rStyle w:val="CharStyle30"/>
              </w:rPr>
              <w:t>2.4</w:t>
            </w:r>
          </w:p>
        </w:tc>
        <w:tc>
          <w:tcPr>
            <w:shd w:val="clear" w:color="auto" w:fill="FFFFFF"/>
            <w:tcBorders>
              <w:left w:val="single" w:sz="4"/>
              <w:right w:val="single" w:sz="4"/>
              <w:bottom w:val="single" w:sz="4"/>
            </w:tcBorders>
            <w:vAlign w:val="top"/>
          </w:tcPr>
          <w:p>
            <w:pPr>
              <w:framePr w:w="8280" w:wrap="notBeside" w:vAnchor="text" w:hAnchor="text" w:xAlign="center" w:y="1"/>
              <w:widowControl w:val="0"/>
              <w:rPr>
                <w:sz w:val="10"/>
                <w:szCs w:val="10"/>
              </w:rPr>
            </w:pPr>
          </w:p>
        </w:tc>
      </w:tr>
    </w:tbl>
    <w:p>
      <w:pPr>
        <w:widowControl w:val="0"/>
        <w:rPr>
          <w:sz w:val="2"/>
          <w:szCs w:val="2"/>
        </w:rPr>
      </w:pPr>
    </w:p>
    <w:p>
      <w:pPr>
        <w:pStyle w:val="Style32"/>
        <w:framePr w:w="9667" w:wrap="notBeside" w:vAnchor="text" w:hAnchor="text" w:xAlign="center" w:y="1"/>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Заказч</w:t>
      </w:r>
      <w:r>
        <w:rPr>
          <w:rStyle w:val="CharStyle34"/>
        </w:rPr>
        <w:t>иком предусмотрено следующее требование к товару:</w:t>
      </w:r>
    </w:p>
    <w:tbl>
      <w:tblPr>
        <w:tblOverlap w:val="never"/>
        <w:tblLayout w:type="fixed"/>
        <w:jc w:val="center"/>
      </w:tblPr>
      <w:tblGrid>
        <w:gridCol w:w="710"/>
        <w:gridCol w:w="2126"/>
        <w:gridCol w:w="2131"/>
        <w:gridCol w:w="840"/>
        <w:gridCol w:w="1435"/>
        <w:gridCol w:w="1848"/>
        <w:gridCol w:w="576"/>
      </w:tblGrid>
      <w:tr>
        <w:trPr>
          <w:trHeight w:val="629" w:hRule="exact"/>
        </w:trPr>
        <w:tc>
          <w:tcPr>
            <w:shd w:val="clear" w:color="auto" w:fill="FFFFFF"/>
            <w:vMerge w:val="restart"/>
            <w:tcBorders>
              <w:left w:val="single" w:sz="4"/>
              <w:top w:val="single" w:sz="4"/>
            </w:tcBorders>
            <w:vAlign w:val="center"/>
          </w:tcPr>
          <w:p>
            <w:pPr>
              <w:pStyle w:val="Style17"/>
              <w:framePr w:w="9667" w:wrap="notBeside" w:vAnchor="text" w:hAnchor="text" w:xAlign="center" w:y="1"/>
              <w:widowControl w:val="0"/>
              <w:keepNext w:val="0"/>
              <w:keepLines w:val="0"/>
              <w:shd w:val="clear" w:color="auto" w:fill="auto"/>
              <w:bidi w:val="0"/>
              <w:jc w:val="left"/>
              <w:spacing w:before="0" w:after="0" w:line="210" w:lineRule="exact"/>
              <w:ind w:left="240" w:right="0" w:firstLine="0"/>
            </w:pPr>
            <w:r>
              <w:rPr>
                <w:rStyle w:val="CharStyle35"/>
              </w:rPr>
              <w:t>18</w:t>
            </w:r>
            <w:r>
              <w:rPr>
                <w:rStyle w:val="CharStyle36"/>
              </w:rPr>
              <w:t>.</w:t>
            </w:r>
          </w:p>
        </w:tc>
        <w:tc>
          <w:tcPr>
            <w:shd w:val="clear" w:color="auto" w:fill="FFFFFF"/>
            <w:vMerge w:val="restart"/>
            <w:tcBorders>
              <w:left w:val="single" w:sz="4"/>
              <w:top w:val="single" w:sz="4"/>
            </w:tcBorders>
            <w:vAlign w:val="top"/>
          </w:tcPr>
          <w:p>
            <w:pPr>
              <w:pStyle w:val="Style17"/>
              <w:framePr w:w="9667" w:wrap="notBeside" w:vAnchor="text" w:hAnchor="text" w:xAlign="center" w:y="1"/>
              <w:widowControl w:val="0"/>
              <w:keepNext w:val="0"/>
              <w:keepLines w:val="0"/>
              <w:shd w:val="clear" w:color="auto" w:fill="auto"/>
              <w:bidi w:val="0"/>
              <w:jc w:val="left"/>
              <w:spacing w:before="0" w:after="0" w:line="197" w:lineRule="exact"/>
              <w:ind w:left="220" w:right="0" w:firstLine="120"/>
            </w:pPr>
            <w:r>
              <w:rPr>
                <w:rStyle w:val="CharStyle37"/>
              </w:rPr>
              <w:t>Кирпич керамический рядовой и клинкерный</w:t>
            </w:r>
          </w:p>
        </w:tc>
        <w:tc>
          <w:tcPr>
            <w:shd w:val="clear" w:color="auto" w:fill="FFFFFF"/>
            <w:tcBorders>
              <w:left w:val="single" w:sz="4"/>
              <w:top w:val="single" w:sz="4"/>
            </w:tcBorders>
            <w:vAlign w:val="center"/>
          </w:tcPr>
          <w:p>
            <w:pPr>
              <w:pStyle w:val="Style17"/>
              <w:framePr w:w="966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Кирпич по ГОСТ 530-2012</w:t>
            </w:r>
          </w:p>
        </w:tc>
        <w:tc>
          <w:tcPr>
            <w:shd w:val="clear" w:color="auto" w:fill="FFFFFF"/>
            <w:tcBorders>
              <w:left w:val="single" w:sz="4"/>
              <w:top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7"/>
              <w:framePr w:w="9667"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37"/>
              </w:rPr>
              <w:t>изготовлен полнотелым или пустотелым</w:t>
            </w:r>
          </w:p>
        </w:tc>
        <w:tc>
          <w:tcPr>
            <w:shd w:val="clear" w:color="auto" w:fill="FFFFFF"/>
            <w:tcBorders>
              <w:left w:val="single" w:sz="4"/>
              <w:right w:val="single" w:sz="4"/>
              <w:top w:val="single" w:sz="4"/>
            </w:tcBorders>
            <w:vAlign w:val="top"/>
          </w:tcPr>
          <w:p>
            <w:pPr>
              <w:framePr w:w="9667" w:wrap="notBeside" w:vAnchor="text" w:hAnchor="text" w:xAlign="center" w:y="1"/>
              <w:widowControl w:val="0"/>
              <w:rPr>
                <w:sz w:val="10"/>
                <w:szCs w:val="10"/>
              </w:rPr>
            </w:pPr>
          </w:p>
        </w:tc>
      </w:tr>
      <w:tr>
        <w:trPr>
          <w:trHeight w:val="408" w:hRule="exact"/>
        </w:trPr>
        <w:tc>
          <w:tcPr>
            <w:shd w:val="clear" w:color="auto" w:fill="FFFFFF"/>
            <w:vMerge/>
            <w:tcBorders>
              <w:left w:val="single" w:sz="4"/>
            </w:tcBorders>
            <w:vAlign w:val="center"/>
          </w:tcPr>
          <w:p>
            <w:pPr>
              <w:framePr w:w="9667" w:wrap="notBeside" w:vAnchor="text" w:hAnchor="text" w:xAlign="center" w:y="1"/>
            </w:pPr>
          </w:p>
        </w:tc>
        <w:tc>
          <w:tcPr>
            <w:shd w:val="clear" w:color="auto" w:fill="FFFFFF"/>
            <w:vMerge/>
            <w:tcBorders>
              <w:left w:val="single" w:sz="4"/>
            </w:tcBorders>
            <w:vAlign w:val="top"/>
          </w:tcPr>
          <w:p>
            <w:pPr>
              <w:framePr w:w="9667" w:wrap="notBeside" w:vAnchor="text" w:hAnchor="text" w:xAlign="center" w:y="1"/>
            </w:pPr>
          </w:p>
        </w:tc>
        <w:tc>
          <w:tcPr>
            <w:shd w:val="clear" w:color="auto" w:fill="FFFFFF"/>
            <w:tcBorders>
              <w:left w:val="single" w:sz="4"/>
              <w:top w:val="single" w:sz="4"/>
            </w:tcBorders>
            <w:vAlign w:val="top"/>
          </w:tcPr>
          <w:p>
            <w:pPr>
              <w:pStyle w:val="Style17"/>
              <w:framePr w:w="9667" w:wrap="notBeside" w:vAnchor="text" w:hAnchor="text" w:xAlign="center" w:y="1"/>
              <w:widowControl w:val="0"/>
              <w:keepNext w:val="0"/>
              <w:keepLines w:val="0"/>
              <w:shd w:val="clear" w:color="auto" w:fill="auto"/>
              <w:bidi w:val="0"/>
              <w:jc w:val="center"/>
              <w:spacing w:before="0" w:after="0" w:line="197" w:lineRule="exact"/>
              <w:ind w:left="0" w:right="0" w:firstLine="0"/>
            </w:pPr>
            <w:r>
              <w:rPr>
                <w:rStyle w:val="CharStyle37"/>
              </w:rPr>
              <w:t>Марка по прочности но ГОСТ 530-2012</w:t>
            </w:r>
          </w:p>
        </w:tc>
        <w:tc>
          <w:tcPr>
            <w:shd w:val="clear" w:color="auto" w:fill="FFFFFF"/>
            <w:tcBorders>
              <w:left w:val="single" w:sz="4"/>
              <w:top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7"/>
              <w:framePr w:w="966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Не менее М100</w:t>
            </w:r>
          </w:p>
        </w:tc>
        <w:tc>
          <w:tcPr>
            <w:shd w:val="clear" w:color="auto" w:fill="FFFFFF"/>
            <w:tcBorders>
              <w:left w:val="single" w:sz="4"/>
              <w:right w:val="single" w:sz="4"/>
              <w:top w:val="single" w:sz="4"/>
            </w:tcBorders>
            <w:vAlign w:val="top"/>
          </w:tcPr>
          <w:p>
            <w:pPr>
              <w:framePr w:w="9667" w:wrap="notBeside" w:vAnchor="text" w:hAnchor="text" w:xAlign="center" w:y="1"/>
              <w:widowControl w:val="0"/>
              <w:rPr>
                <w:sz w:val="10"/>
                <w:szCs w:val="10"/>
              </w:rPr>
            </w:pPr>
          </w:p>
        </w:tc>
      </w:tr>
      <w:tr>
        <w:trPr>
          <w:trHeight w:val="605" w:hRule="exact"/>
        </w:trPr>
        <w:tc>
          <w:tcPr>
            <w:shd w:val="clear" w:color="auto" w:fill="FFFFFF"/>
            <w:vMerge/>
            <w:tcBorders>
              <w:left w:val="single" w:sz="4"/>
            </w:tcBorders>
            <w:vAlign w:val="center"/>
          </w:tcPr>
          <w:p>
            <w:pPr>
              <w:framePr w:w="9667" w:wrap="notBeside" w:vAnchor="text" w:hAnchor="text" w:xAlign="center" w:y="1"/>
            </w:pPr>
          </w:p>
        </w:tc>
        <w:tc>
          <w:tcPr>
            <w:shd w:val="clear" w:color="auto" w:fill="FFFFFF"/>
            <w:vMerge/>
            <w:tcBorders>
              <w:left w:val="single" w:sz="4"/>
            </w:tcBorders>
            <w:vAlign w:val="top"/>
          </w:tcPr>
          <w:p>
            <w:pPr>
              <w:framePr w:w="9667" w:wrap="notBeside" w:vAnchor="text" w:hAnchor="text" w:xAlign="center" w:y="1"/>
            </w:pPr>
          </w:p>
        </w:tc>
        <w:tc>
          <w:tcPr>
            <w:shd w:val="clear" w:color="auto" w:fill="FFFFFF"/>
            <w:tcBorders>
              <w:left w:val="single" w:sz="4"/>
              <w:top w:val="single" w:sz="4"/>
            </w:tcBorders>
            <w:vAlign w:val="top"/>
          </w:tcPr>
          <w:p>
            <w:pPr>
              <w:pStyle w:val="Style17"/>
              <w:framePr w:w="9667" w:wrap="notBeside" w:vAnchor="text" w:hAnchor="text" w:xAlign="center" w:y="1"/>
              <w:widowControl w:val="0"/>
              <w:keepNext w:val="0"/>
              <w:keepLines w:val="0"/>
              <w:shd w:val="clear" w:color="auto" w:fill="auto"/>
              <w:bidi w:val="0"/>
              <w:jc w:val="center"/>
              <w:spacing w:before="0" w:after="0" w:line="197" w:lineRule="exact"/>
              <w:ind w:left="0" w:right="0" w:firstLine="0"/>
            </w:pPr>
            <w:r>
              <w:rPr>
                <w:rStyle w:val="CharStyle37"/>
              </w:rPr>
              <w:t>Марка по морозостойкости по ГОСТ 530-2012</w:t>
            </w:r>
          </w:p>
        </w:tc>
        <w:tc>
          <w:tcPr>
            <w:shd w:val="clear" w:color="auto" w:fill="FFFFFF"/>
            <w:tcBorders>
              <w:left w:val="single" w:sz="4"/>
              <w:top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7"/>
              <w:framePr w:w="966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lang w:val="en-US" w:eastAsia="en-US" w:bidi="en-US"/>
              </w:rPr>
              <w:t xml:space="preserve">F50 </w:t>
            </w:r>
            <w:r>
              <w:rPr>
                <w:rStyle w:val="CharStyle37"/>
              </w:rPr>
              <w:t xml:space="preserve">или </w:t>
            </w:r>
            <w:r>
              <w:rPr>
                <w:rStyle w:val="CharStyle37"/>
                <w:lang w:val="en-US" w:eastAsia="en-US" w:bidi="en-US"/>
              </w:rPr>
              <w:t xml:space="preserve">F75 </w:t>
            </w:r>
            <w:r>
              <w:rPr>
                <w:rStyle w:val="CharStyle37"/>
              </w:rPr>
              <w:t xml:space="preserve">или </w:t>
            </w:r>
            <w:r>
              <w:rPr>
                <w:rStyle w:val="CharStyle37"/>
                <w:lang w:val="en-US" w:eastAsia="en-US" w:bidi="en-US"/>
              </w:rPr>
              <w:t>F100</w:t>
            </w:r>
          </w:p>
        </w:tc>
        <w:tc>
          <w:tcPr>
            <w:shd w:val="clear" w:color="auto" w:fill="FFFFFF"/>
            <w:tcBorders>
              <w:left w:val="single" w:sz="4"/>
              <w:right w:val="single" w:sz="4"/>
              <w:top w:val="single" w:sz="4"/>
            </w:tcBorders>
            <w:vAlign w:val="top"/>
          </w:tcPr>
          <w:p>
            <w:pPr>
              <w:framePr w:w="9667" w:wrap="notBeside" w:vAnchor="text" w:hAnchor="text" w:xAlign="center" w:y="1"/>
              <w:widowControl w:val="0"/>
              <w:rPr>
                <w:sz w:val="10"/>
                <w:szCs w:val="10"/>
              </w:rPr>
            </w:pPr>
          </w:p>
        </w:tc>
      </w:tr>
      <w:tr>
        <w:trPr>
          <w:trHeight w:val="211" w:hRule="exact"/>
        </w:trPr>
        <w:tc>
          <w:tcPr>
            <w:shd w:val="clear" w:color="auto" w:fill="FFFFFF"/>
            <w:vMerge/>
            <w:tcBorders>
              <w:left w:val="single" w:sz="4"/>
            </w:tcBorders>
            <w:vAlign w:val="center"/>
          </w:tcPr>
          <w:p>
            <w:pPr>
              <w:framePr w:w="9667" w:wrap="notBeside" w:vAnchor="text" w:hAnchor="text" w:xAlign="center" w:y="1"/>
            </w:pPr>
          </w:p>
        </w:tc>
        <w:tc>
          <w:tcPr>
            <w:shd w:val="clear" w:color="auto" w:fill="FFFFFF"/>
            <w:vMerge/>
            <w:tcBorders>
              <w:left w:val="single" w:sz="4"/>
            </w:tcBorders>
            <w:vAlign w:val="top"/>
          </w:tcPr>
          <w:p>
            <w:pPr>
              <w:framePr w:w="9667" w:wrap="notBeside" w:vAnchor="text" w:hAnchor="text" w:xAlign="center" w:y="1"/>
            </w:pPr>
          </w:p>
        </w:tc>
        <w:tc>
          <w:tcPr>
            <w:shd w:val="clear" w:color="auto" w:fill="FFFFFF"/>
            <w:tcBorders>
              <w:left w:val="single" w:sz="4"/>
              <w:top w:val="single" w:sz="4"/>
            </w:tcBorders>
            <w:vAlign w:val="top"/>
          </w:tcPr>
          <w:p>
            <w:pPr>
              <w:pStyle w:val="Style17"/>
              <w:framePr w:w="966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Длина по ГОСТ 530-2012</w:t>
            </w:r>
          </w:p>
        </w:tc>
        <w:tc>
          <w:tcPr>
            <w:shd w:val="clear" w:color="auto" w:fill="FFFFFF"/>
            <w:tcBorders>
              <w:left w:val="single" w:sz="4"/>
              <w:top w:val="single" w:sz="4"/>
            </w:tcBorders>
            <w:vAlign w:val="top"/>
          </w:tcPr>
          <w:p>
            <w:pPr>
              <w:pStyle w:val="Style17"/>
              <w:framePr w:w="966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мм</w:t>
            </w:r>
          </w:p>
        </w:tc>
        <w:tc>
          <w:tcPr>
            <w:shd w:val="clear" w:color="auto" w:fill="FFFFFF"/>
            <w:tcBorders>
              <w:left w:val="single" w:sz="4"/>
              <w:top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7"/>
              <w:framePr w:w="966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не менее 250</w:t>
            </w:r>
          </w:p>
        </w:tc>
        <w:tc>
          <w:tcPr>
            <w:shd w:val="clear" w:color="auto" w:fill="FFFFFF"/>
            <w:tcBorders>
              <w:left w:val="single" w:sz="4"/>
              <w:right w:val="single" w:sz="4"/>
              <w:top w:val="single" w:sz="4"/>
            </w:tcBorders>
            <w:vAlign w:val="top"/>
          </w:tcPr>
          <w:p>
            <w:pPr>
              <w:framePr w:w="9667" w:wrap="notBeside" w:vAnchor="text" w:hAnchor="text" w:xAlign="center" w:y="1"/>
              <w:widowControl w:val="0"/>
              <w:rPr>
                <w:sz w:val="10"/>
                <w:szCs w:val="10"/>
              </w:rPr>
            </w:pPr>
          </w:p>
        </w:tc>
      </w:tr>
      <w:tr>
        <w:trPr>
          <w:trHeight w:val="245" w:hRule="exact"/>
        </w:trPr>
        <w:tc>
          <w:tcPr>
            <w:shd w:val="clear" w:color="auto" w:fill="FFFFFF"/>
            <w:vMerge/>
            <w:tcBorders>
              <w:left w:val="single" w:sz="4"/>
              <w:bottom w:val="single" w:sz="4"/>
            </w:tcBorders>
            <w:vAlign w:val="center"/>
          </w:tcPr>
          <w:p>
            <w:pPr>
              <w:framePr w:w="9667" w:wrap="notBeside" w:vAnchor="text" w:hAnchor="text" w:xAlign="center" w:y="1"/>
            </w:pPr>
          </w:p>
        </w:tc>
        <w:tc>
          <w:tcPr>
            <w:shd w:val="clear" w:color="auto" w:fill="FFFFFF"/>
            <w:vMerge/>
            <w:tcBorders>
              <w:left w:val="single" w:sz="4"/>
              <w:bottom w:val="single" w:sz="4"/>
            </w:tcBorders>
            <w:vAlign w:val="top"/>
          </w:tcPr>
          <w:p>
            <w:pPr>
              <w:framePr w:w="9667" w:wrap="notBeside" w:vAnchor="text" w:hAnchor="text" w:xAlign="center" w:y="1"/>
            </w:pPr>
          </w:p>
        </w:tc>
        <w:tc>
          <w:tcPr>
            <w:shd w:val="clear" w:color="auto" w:fill="FFFFFF"/>
            <w:tcBorders>
              <w:left w:val="single" w:sz="4"/>
              <w:top w:val="single" w:sz="4"/>
              <w:bottom w:val="single" w:sz="4"/>
            </w:tcBorders>
            <w:vAlign w:val="bottom"/>
          </w:tcPr>
          <w:p>
            <w:pPr>
              <w:pStyle w:val="Style17"/>
              <w:framePr w:w="966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Ширина по ГОСТ 530-</w:t>
            </w:r>
          </w:p>
        </w:tc>
        <w:tc>
          <w:tcPr>
            <w:shd w:val="clear" w:color="auto" w:fill="FFFFFF"/>
            <w:tcBorders>
              <w:left w:val="single" w:sz="4"/>
              <w:top w:val="single" w:sz="4"/>
              <w:bottom w:val="single" w:sz="4"/>
            </w:tcBorders>
            <w:vAlign w:val="bottom"/>
          </w:tcPr>
          <w:p>
            <w:pPr>
              <w:pStyle w:val="Style17"/>
              <w:framePr w:w="966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мм</w:t>
            </w:r>
          </w:p>
        </w:tc>
        <w:tc>
          <w:tcPr>
            <w:shd w:val="clear" w:color="auto" w:fill="FFFFFF"/>
            <w:tcBorders>
              <w:left w:val="single" w:sz="4"/>
              <w:top w:val="single" w:sz="4"/>
              <w:bottom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17"/>
              <w:framePr w:w="9667"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не менее 120</w:t>
            </w:r>
          </w:p>
        </w:tc>
        <w:tc>
          <w:tcPr>
            <w:shd w:val="clear" w:color="auto" w:fill="FFFFFF"/>
            <w:tcBorders>
              <w:left w:val="single" w:sz="4"/>
              <w:right w:val="single" w:sz="4"/>
              <w:top w:val="single" w:sz="4"/>
              <w:bottom w:val="single" w:sz="4"/>
            </w:tcBorders>
            <w:vAlign w:val="top"/>
          </w:tcPr>
          <w:p>
            <w:pPr>
              <w:framePr w:w="9667" w:wrap="notBeside" w:vAnchor="text" w:hAnchor="text" w:xAlign="center" w:y="1"/>
              <w:widowControl w:val="0"/>
              <w:rPr>
                <w:sz w:val="10"/>
                <w:szCs w:val="10"/>
              </w:rPr>
            </w:pPr>
          </w:p>
        </w:tc>
      </w:tr>
    </w:tbl>
    <w:p>
      <w:pPr>
        <w:widowControl w:val="0"/>
        <w:rPr>
          <w:sz w:val="2"/>
          <w:szCs w:val="2"/>
        </w:rPr>
      </w:pPr>
    </w:p>
    <w:tbl>
      <w:tblPr>
        <w:tblOverlap w:val="never"/>
        <w:tblLayout w:type="fixed"/>
        <w:jc w:val="right"/>
      </w:tblPr>
      <w:tblGrid>
        <w:gridCol w:w="2141"/>
        <w:gridCol w:w="845"/>
        <w:gridCol w:w="1421"/>
        <w:gridCol w:w="1834"/>
        <w:gridCol w:w="576"/>
      </w:tblGrid>
      <w:tr>
        <w:trPr>
          <w:trHeight w:val="230" w:hRule="exact"/>
        </w:trPr>
        <w:tc>
          <w:tcPr>
            <w:shd w:val="clear" w:color="auto" w:fill="FFFFFF"/>
            <w:tcBorders>
              <w:left w:val="single" w:sz="4"/>
              <w:top w:val="single" w:sz="4"/>
            </w:tcBorders>
            <w:vAlign w:val="bottom"/>
          </w:tcPr>
          <w:p>
            <w:pPr>
              <w:pStyle w:val="Style17"/>
              <w:framePr w:w="6816" w:wrap="notBeside" w:vAnchor="text" w:hAnchor="text" w:xAlign="right" w:y="1"/>
              <w:widowControl w:val="0"/>
              <w:keepNext w:val="0"/>
              <w:keepLines w:val="0"/>
              <w:shd w:val="clear" w:color="auto" w:fill="auto"/>
              <w:bidi w:val="0"/>
              <w:jc w:val="center"/>
              <w:spacing w:before="0" w:after="0" w:line="130" w:lineRule="exact"/>
              <w:ind w:left="0" w:right="0" w:firstLine="0"/>
            </w:pPr>
            <w:r>
              <w:rPr>
                <w:rStyle w:val="CharStyle37"/>
              </w:rPr>
              <w:t>2012</w:t>
            </w:r>
          </w:p>
        </w:tc>
        <w:tc>
          <w:tcPr>
            <w:shd w:val="clear" w:color="auto" w:fill="FFFFFF"/>
            <w:tcBorders>
              <w:left w:val="single" w:sz="4"/>
              <w:top w:val="single" w:sz="4"/>
            </w:tcBorders>
            <w:vAlign w:val="top"/>
          </w:tcPr>
          <w:p>
            <w:pPr>
              <w:framePr w:w="6816" w:wrap="notBeside" w:vAnchor="text" w:hAnchor="text" w:xAlign="right" w:y="1"/>
              <w:widowControl w:val="0"/>
              <w:rPr>
                <w:sz w:val="10"/>
                <w:szCs w:val="10"/>
              </w:rPr>
            </w:pPr>
          </w:p>
        </w:tc>
        <w:tc>
          <w:tcPr>
            <w:shd w:val="clear" w:color="auto" w:fill="FFFFFF"/>
            <w:tcBorders>
              <w:left w:val="single" w:sz="4"/>
              <w:top w:val="single" w:sz="4"/>
            </w:tcBorders>
            <w:vAlign w:val="top"/>
          </w:tcPr>
          <w:p>
            <w:pPr>
              <w:framePr w:w="6816" w:wrap="notBeside" w:vAnchor="text" w:hAnchor="text" w:xAlign="right" w:y="1"/>
              <w:widowControl w:val="0"/>
              <w:rPr>
                <w:sz w:val="10"/>
                <w:szCs w:val="10"/>
              </w:rPr>
            </w:pPr>
          </w:p>
        </w:tc>
        <w:tc>
          <w:tcPr>
            <w:shd w:val="clear" w:color="auto" w:fill="FFFFFF"/>
            <w:tcBorders>
              <w:left w:val="single" w:sz="4"/>
              <w:top w:val="single" w:sz="4"/>
            </w:tcBorders>
            <w:vAlign w:val="top"/>
          </w:tcPr>
          <w:p>
            <w:pPr>
              <w:framePr w:w="6816" w:wrap="notBeside" w:vAnchor="text" w:hAnchor="text" w:xAlign="right" w:y="1"/>
              <w:widowControl w:val="0"/>
              <w:rPr>
                <w:sz w:val="10"/>
                <w:szCs w:val="10"/>
              </w:rPr>
            </w:pPr>
          </w:p>
        </w:tc>
        <w:tc>
          <w:tcPr>
            <w:shd w:val="clear" w:color="auto" w:fill="FFFFFF"/>
            <w:tcBorders>
              <w:left w:val="single" w:sz="4"/>
              <w:right w:val="single" w:sz="4"/>
              <w:top w:val="single" w:sz="4"/>
            </w:tcBorders>
            <w:vAlign w:val="top"/>
          </w:tcPr>
          <w:p>
            <w:pPr>
              <w:framePr w:w="6816" w:wrap="notBeside" w:vAnchor="text" w:hAnchor="text" w:xAlign="right" w:y="1"/>
              <w:widowControl w:val="0"/>
              <w:rPr>
                <w:sz w:val="10"/>
                <w:szCs w:val="10"/>
              </w:rPr>
            </w:pPr>
          </w:p>
        </w:tc>
      </w:tr>
      <w:tr>
        <w:trPr>
          <w:trHeight w:val="413" w:hRule="exact"/>
        </w:trPr>
        <w:tc>
          <w:tcPr>
            <w:shd w:val="clear" w:color="auto" w:fill="FFFFFF"/>
            <w:tcBorders>
              <w:left w:val="single" w:sz="4"/>
              <w:top w:val="single" w:sz="4"/>
            </w:tcBorders>
            <w:vAlign w:val="bottom"/>
          </w:tcPr>
          <w:p>
            <w:pPr>
              <w:pStyle w:val="Style17"/>
              <w:framePr w:w="6816" w:wrap="notBeside" w:vAnchor="text" w:hAnchor="text" w:xAlign="right" w:y="1"/>
              <w:widowControl w:val="0"/>
              <w:keepNext w:val="0"/>
              <w:keepLines w:val="0"/>
              <w:shd w:val="clear" w:color="auto" w:fill="auto"/>
              <w:bidi w:val="0"/>
              <w:jc w:val="center"/>
              <w:spacing w:before="0" w:after="0" w:line="202" w:lineRule="exact"/>
              <w:ind w:left="0" w:right="0" w:firstLine="0"/>
            </w:pPr>
            <w:r>
              <w:rPr>
                <w:rStyle w:val="CharStyle37"/>
              </w:rPr>
              <w:t>Толщина по ГОСТ 530- 2012</w:t>
            </w:r>
          </w:p>
        </w:tc>
        <w:tc>
          <w:tcPr>
            <w:shd w:val="clear" w:color="auto" w:fill="FFFFFF"/>
            <w:tcBorders>
              <w:left w:val="single" w:sz="4"/>
              <w:top w:val="single" w:sz="4"/>
            </w:tcBorders>
            <w:vAlign w:val="center"/>
          </w:tcPr>
          <w:p>
            <w:pPr>
              <w:pStyle w:val="Style17"/>
              <w:framePr w:w="6816" w:wrap="notBeside" w:vAnchor="text" w:hAnchor="text" w:xAlign="right" w:y="1"/>
              <w:widowControl w:val="0"/>
              <w:keepNext w:val="0"/>
              <w:keepLines w:val="0"/>
              <w:shd w:val="clear" w:color="auto" w:fill="auto"/>
              <w:bidi w:val="0"/>
              <w:jc w:val="center"/>
              <w:spacing w:before="0" w:after="0" w:line="130" w:lineRule="exact"/>
              <w:ind w:left="0" w:right="0" w:firstLine="0"/>
            </w:pPr>
            <w:r>
              <w:rPr>
                <w:rStyle w:val="CharStyle37"/>
              </w:rPr>
              <w:t>мм</w:t>
            </w:r>
          </w:p>
        </w:tc>
        <w:tc>
          <w:tcPr>
            <w:shd w:val="clear" w:color="auto" w:fill="FFFFFF"/>
            <w:tcBorders>
              <w:left w:val="single" w:sz="4"/>
              <w:top w:val="single" w:sz="4"/>
            </w:tcBorders>
            <w:vAlign w:val="top"/>
          </w:tcPr>
          <w:p>
            <w:pPr>
              <w:framePr w:w="6816" w:wrap="notBeside" w:vAnchor="text" w:hAnchor="text" w:xAlign="right" w:y="1"/>
              <w:widowControl w:val="0"/>
              <w:rPr>
                <w:sz w:val="10"/>
                <w:szCs w:val="10"/>
              </w:rPr>
            </w:pPr>
          </w:p>
        </w:tc>
        <w:tc>
          <w:tcPr>
            <w:shd w:val="clear" w:color="auto" w:fill="FFFFFF"/>
            <w:tcBorders>
              <w:left w:val="single" w:sz="4"/>
              <w:top w:val="single" w:sz="4"/>
            </w:tcBorders>
            <w:vAlign w:val="center"/>
          </w:tcPr>
          <w:p>
            <w:pPr>
              <w:pStyle w:val="Style17"/>
              <w:framePr w:w="6816" w:wrap="notBeside" w:vAnchor="text" w:hAnchor="text" w:xAlign="right" w:y="1"/>
              <w:widowControl w:val="0"/>
              <w:keepNext w:val="0"/>
              <w:keepLines w:val="0"/>
              <w:shd w:val="clear" w:color="auto" w:fill="auto"/>
              <w:bidi w:val="0"/>
              <w:jc w:val="center"/>
              <w:spacing w:before="0" w:after="0" w:line="130" w:lineRule="exact"/>
              <w:ind w:left="0" w:right="0" w:firstLine="0"/>
            </w:pPr>
            <w:r>
              <w:rPr>
                <w:rStyle w:val="CharStyle37"/>
              </w:rPr>
              <w:t>не менее 65</w:t>
            </w:r>
          </w:p>
        </w:tc>
        <w:tc>
          <w:tcPr>
            <w:shd w:val="clear" w:color="auto" w:fill="FFFFFF"/>
            <w:tcBorders>
              <w:left w:val="single" w:sz="4"/>
              <w:right w:val="single" w:sz="4"/>
              <w:top w:val="single" w:sz="4"/>
            </w:tcBorders>
            <w:vAlign w:val="top"/>
          </w:tcPr>
          <w:p>
            <w:pPr>
              <w:framePr w:w="6816" w:wrap="notBeside" w:vAnchor="text" w:hAnchor="text" w:xAlign="right" w:y="1"/>
              <w:widowControl w:val="0"/>
              <w:rPr>
                <w:sz w:val="10"/>
                <w:szCs w:val="10"/>
              </w:rPr>
            </w:pPr>
          </w:p>
        </w:tc>
      </w:tr>
      <w:tr>
        <w:trPr>
          <w:trHeight w:val="595" w:hRule="exact"/>
        </w:trPr>
        <w:tc>
          <w:tcPr>
            <w:shd w:val="clear" w:color="auto" w:fill="FFFFFF"/>
            <w:tcBorders>
              <w:left w:val="single" w:sz="4"/>
              <w:top w:val="single" w:sz="4"/>
            </w:tcBorders>
            <w:vAlign w:val="top"/>
          </w:tcPr>
          <w:p>
            <w:pPr>
              <w:pStyle w:val="Style17"/>
              <w:framePr w:w="6816" w:wrap="notBeside" w:vAnchor="text" w:hAnchor="text" w:xAlign="right" w:y="1"/>
              <w:widowControl w:val="0"/>
              <w:keepNext w:val="0"/>
              <w:keepLines w:val="0"/>
              <w:shd w:val="clear" w:color="auto" w:fill="auto"/>
              <w:bidi w:val="0"/>
              <w:jc w:val="center"/>
              <w:spacing w:before="0" w:after="0" w:line="192" w:lineRule="exact"/>
              <w:ind w:left="0" w:right="0" w:firstLine="0"/>
            </w:pPr>
            <w:r>
              <w:rPr>
                <w:rStyle w:val="CharStyle37"/>
              </w:rPr>
              <w:t>Класс средней плотности изделия по ГОСТ 530- 2012</w:t>
            </w:r>
          </w:p>
        </w:tc>
        <w:tc>
          <w:tcPr>
            <w:shd w:val="clear" w:color="auto" w:fill="FFFFFF"/>
            <w:tcBorders>
              <w:left w:val="single" w:sz="4"/>
              <w:top w:val="single" w:sz="4"/>
            </w:tcBorders>
            <w:vAlign w:val="top"/>
          </w:tcPr>
          <w:p>
            <w:pPr>
              <w:framePr w:w="6816" w:wrap="notBeside" w:vAnchor="text" w:hAnchor="text" w:xAlign="right" w:y="1"/>
              <w:widowControl w:val="0"/>
              <w:rPr>
                <w:sz w:val="10"/>
                <w:szCs w:val="10"/>
              </w:rPr>
            </w:pPr>
          </w:p>
        </w:tc>
        <w:tc>
          <w:tcPr>
            <w:shd w:val="clear" w:color="auto" w:fill="FFFFFF"/>
            <w:tcBorders>
              <w:left w:val="single" w:sz="4"/>
              <w:top w:val="single" w:sz="4"/>
            </w:tcBorders>
            <w:vAlign w:val="top"/>
          </w:tcPr>
          <w:p>
            <w:pPr>
              <w:framePr w:w="6816" w:wrap="notBeside" w:vAnchor="text" w:hAnchor="text" w:xAlign="right" w:y="1"/>
              <w:widowControl w:val="0"/>
              <w:rPr>
                <w:sz w:val="10"/>
                <w:szCs w:val="10"/>
              </w:rPr>
            </w:pPr>
          </w:p>
        </w:tc>
        <w:tc>
          <w:tcPr>
            <w:shd w:val="clear" w:color="auto" w:fill="FFFFFF"/>
            <w:tcBorders>
              <w:left w:val="single" w:sz="4"/>
              <w:top w:val="single" w:sz="4"/>
            </w:tcBorders>
            <w:vAlign w:val="center"/>
          </w:tcPr>
          <w:p>
            <w:pPr>
              <w:pStyle w:val="Style17"/>
              <w:framePr w:w="6816" w:wrap="notBeside" w:vAnchor="text" w:hAnchor="text" w:xAlign="right" w:y="1"/>
              <w:widowControl w:val="0"/>
              <w:keepNext w:val="0"/>
              <w:keepLines w:val="0"/>
              <w:shd w:val="clear" w:color="auto" w:fill="auto"/>
              <w:bidi w:val="0"/>
              <w:jc w:val="center"/>
              <w:spacing w:before="0" w:after="0" w:line="130" w:lineRule="exact"/>
              <w:ind w:left="0" w:right="0" w:firstLine="0"/>
            </w:pPr>
            <w:r>
              <w:rPr>
                <w:rStyle w:val="CharStyle37"/>
              </w:rPr>
              <w:t>1,4 или 2,0 или 2,4</w:t>
            </w:r>
          </w:p>
        </w:tc>
        <w:tc>
          <w:tcPr>
            <w:shd w:val="clear" w:color="auto" w:fill="FFFFFF"/>
            <w:tcBorders>
              <w:left w:val="single" w:sz="4"/>
              <w:right w:val="single" w:sz="4"/>
              <w:top w:val="single" w:sz="4"/>
            </w:tcBorders>
            <w:vAlign w:val="top"/>
          </w:tcPr>
          <w:p>
            <w:pPr>
              <w:framePr w:w="6816" w:wrap="notBeside" w:vAnchor="text" w:hAnchor="text" w:xAlign="right" w:y="1"/>
              <w:widowControl w:val="0"/>
              <w:rPr>
                <w:sz w:val="10"/>
                <w:szCs w:val="10"/>
              </w:rPr>
            </w:pPr>
          </w:p>
        </w:tc>
      </w:tr>
      <w:tr>
        <w:trPr>
          <w:trHeight w:val="226" w:hRule="exact"/>
        </w:trPr>
        <w:tc>
          <w:tcPr>
            <w:shd w:val="clear" w:color="auto" w:fill="FFFFFF"/>
            <w:tcBorders>
              <w:left w:val="single" w:sz="4"/>
              <w:top w:val="single" w:sz="4"/>
              <w:bottom w:val="single" w:sz="4"/>
            </w:tcBorders>
            <w:vAlign w:val="top"/>
          </w:tcPr>
          <w:p>
            <w:pPr>
              <w:pStyle w:val="Style17"/>
              <w:framePr w:w="6816" w:wrap="notBeside" w:vAnchor="text" w:hAnchor="text" w:xAlign="right" w:y="1"/>
              <w:widowControl w:val="0"/>
              <w:keepNext w:val="0"/>
              <w:keepLines w:val="0"/>
              <w:shd w:val="clear" w:color="auto" w:fill="auto"/>
              <w:bidi w:val="0"/>
              <w:jc w:val="center"/>
              <w:spacing w:before="0" w:after="0" w:line="130" w:lineRule="exact"/>
              <w:ind w:left="0" w:right="0" w:firstLine="0"/>
            </w:pPr>
            <w:r>
              <w:rPr>
                <w:rStyle w:val="CharStyle37"/>
              </w:rPr>
              <w:t>Соответствует стандарту</w:t>
            </w:r>
          </w:p>
        </w:tc>
        <w:tc>
          <w:tcPr>
            <w:shd w:val="clear" w:color="auto" w:fill="FFFFFF"/>
            <w:tcBorders>
              <w:left w:val="single" w:sz="4"/>
              <w:top w:val="single" w:sz="4"/>
              <w:bottom w:val="single" w:sz="4"/>
            </w:tcBorders>
            <w:vAlign w:val="top"/>
          </w:tcPr>
          <w:p>
            <w:pPr>
              <w:framePr w:w="6816" w:wrap="notBeside" w:vAnchor="text" w:hAnchor="text" w:xAlign="right" w:y="1"/>
              <w:widowControl w:val="0"/>
              <w:rPr>
                <w:sz w:val="10"/>
                <w:szCs w:val="10"/>
              </w:rPr>
            </w:pPr>
          </w:p>
        </w:tc>
        <w:tc>
          <w:tcPr>
            <w:shd w:val="clear" w:color="auto" w:fill="FFFFFF"/>
            <w:tcBorders>
              <w:left w:val="single" w:sz="4"/>
              <w:top w:val="single" w:sz="4"/>
              <w:bottom w:val="single" w:sz="4"/>
            </w:tcBorders>
            <w:vAlign w:val="top"/>
          </w:tcPr>
          <w:p>
            <w:pPr>
              <w:pStyle w:val="Style17"/>
              <w:framePr w:w="6816" w:wrap="notBeside" w:vAnchor="text" w:hAnchor="text" w:xAlign="right" w:y="1"/>
              <w:widowControl w:val="0"/>
              <w:keepNext w:val="0"/>
              <w:keepLines w:val="0"/>
              <w:shd w:val="clear" w:color="auto" w:fill="auto"/>
              <w:bidi w:val="0"/>
              <w:jc w:val="left"/>
              <w:spacing w:before="0" w:after="0" w:line="130" w:lineRule="exact"/>
              <w:ind w:left="180" w:right="0" w:firstLine="0"/>
            </w:pPr>
            <w:r>
              <w:rPr>
                <w:rStyle w:val="CharStyle37"/>
              </w:rPr>
              <w:t>ГОСТ 530-2012</w:t>
            </w:r>
          </w:p>
        </w:tc>
        <w:tc>
          <w:tcPr>
            <w:shd w:val="clear" w:color="auto" w:fill="FFFFFF"/>
            <w:tcBorders>
              <w:left w:val="single" w:sz="4"/>
              <w:top w:val="single" w:sz="4"/>
              <w:bottom w:val="single" w:sz="4"/>
            </w:tcBorders>
            <w:vAlign w:val="top"/>
          </w:tcPr>
          <w:p>
            <w:pPr>
              <w:framePr w:w="6816" w:wrap="notBeside" w:vAnchor="text" w:hAnchor="text" w:xAlign="right" w:y="1"/>
              <w:widowControl w:val="0"/>
              <w:rPr>
                <w:sz w:val="10"/>
                <w:szCs w:val="10"/>
              </w:rPr>
            </w:pPr>
          </w:p>
        </w:tc>
        <w:tc>
          <w:tcPr>
            <w:shd w:val="clear" w:color="auto" w:fill="FFFFFF"/>
            <w:tcBorders>
              <w:left w:val="single" w:sz="4"/>
              <w:right w:val="single" w:sz="4"/>
              <w:top w:val="single" w:sz="4"/>
              <w:bottom w:val="single" w:sz="4"/>
            </w:tcBorders>
            <w:vAlign w:val="top"/>
          </w:tcPr>
          <w:p>
            <w:pPr>
              <w:framePr w:w="6816" w:wrap="notBeside" w:vAnchor="text" w:hAnchor="text" w:xAlign="right" w:y="1"/>
              <w:widowControl w:val="0"/>
              <w:rPr>
                <w:sz w:val="10"/>
                <w:szCs w:val="10"/>
              </w:rPr>
            </w:pPr>
          </w:p>
        </w:tc>
      </w:tr>
    </w:tbl>
    <w:p>
      <w:pPr>
        <w:widowControl w:val="0"/>
        <w:rPr>
          <w:sz w:val="2"/>
          <w:szCs w:val="2"/>
        </w:rPr>
      </w:pPr>
    </w:p>
    <w:p>
      <w:pPr>
        <w:pStyle w:val="Style32"/>
        <w:framePr w:w="9658" w:wrap="notBeside" w:vAnchor="text" w:hAnchor="text" w:xAlign="center" w:y="1"/>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Участником в составе своей заявки предлоджено</w:t>
      </w:r>
    </w:p>
    <w:tbl>
      <w:tblPr>
        <w:tblOverlap w:val="never"/>
        <w:tblLayout w:type="fixed"/>
        <w:jc w:val="center"/>
      </w:tblPr>
      <w:tblGrid>
        <w:gridCol w:w="1142"/>
        <w:gridCol w:w="1709"/>
        <w:gridCol w:w="2126"/>
        <w:gridCol w:w="850"/>
        <w:gridCol w:w="1133"/>
        <w:gridCol w:w="2122"/>
        <w:gridCol w:w="576"/>
      </w:tblGrid>
      <w:tr>
        <w:trPr>
          <w:trHeight w:val="211" w:hRule="exact"/>
        </w:trPr>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Кирпич по ГОСТ 530-2012</w:t>
            </w: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изготовлен полнотелым</w:t>
            </w:r>
          </w:p>
        </w:tc>
        <w:tc>
          <w:tcPr>
            <w:shd w:val="clear" w:color="auto" w:fill="FFFFFF"/>
            <w:tcBorders>
              <w:left w:val="single" w:sz="4"/>
              <w:right w:val="single" w:sz="4"/>
              <w:top w:val="single" w:sz="4"/>
            </w:tcBorders>
            <w:vAlign w:val="top"/>
          </w:tcPr>
          <w:p>
            <w:pPr>
              <w:framePr w:w="9658" w:wrap="notBeside" w:vAnchor="text" w:hAnchor="text" w:xAlign="center" w:y="1"/>
              <w:widowControl w:val="0"/>
              <w:rPr>
                <w:sz w:val="10"/>
                <w:szCs w:val="10"/>
              </w:rPr>
            </w:pPr>
          </w:p>
        </w:tc>
      </w:tr>
      <w:tr>
        <w:trPr>
          <w:trHeight w:val="403" w:hRule="exact"/>
        </w:trPr>
        <w:tc>
          <w:tcPr>
            <w:shd w:val="clear" w:color="auto" w:fill="FFFFFF"/>
            <w:tcBorders>
              <w:left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7"/>
              <w:framePr w:w="9658" w:wrap="notBeside" w:vAnchor="text" w:hAnchor="text" w:xAlign="center" w:y="1"/>
              <w:widowControl w:val="0"/>
              <w:keepNext w:val="0"/>
              <w:keepLines w:val="0"/>
              <w:shd w:val="clear" w:color="auto" w:fill="auto"/>
              <w:bidi w:val="0"/>
              <w:jc w:val="center"/>
              <w:spacing w:before="0" w:after="0" w:line="192" w:lineRule="exact"/>
              <w:ind w:left="0" w:right="0" w:firstLine="0"/>
            </w:pPr>
            <w:r>
              <w:rPr>
                <w:rStyle w:val="CharStyle37"/>
              </w:rPr>
              <w:t>Марка по прочности по ГОСТ 530-2012</w:t>
            </w: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7"/>
              <w:framePr w:w="9658"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38"/>
              </w:rPr>
              <w:t>мзоо</w:t>
            </w:r>
          </w:p>
        </w:tc>
        <w:tc>
          <w:tcPr>
            <w:shd w:val="clear" w:color="auto" w:fill="FFFFFF"/>
            <w:tcBorders>
              <w:left w:val="single" w:sz="4"/>
              <w:right w:val="single" w:sz="4"/>
              <w:top w:val="single" w:sz="4"/>
            </w:tcBorders>
            <w:vAlign w:val="top"/>
          </w:tcPr>
          <w:p>
            <w:pPr>
              <w:framePr w:w="9658" w:wrap="notBeside" w:vAnchor="text" w:hAnchor="text" w:xAlign="center" w:y="1"/>
              <w:widowControl w:val="0"/>
              <w:rPr>
                <w:sz w:val="10"/>
                <w:szCs w:val="10"/>
              </w:rPr>
            </w:pPr>
          </w:p>
        </w:tc>
      </w:tr>
      <w:tr>
        <w:trPr>
          <w:trHeight w:val="566" w:hRule="exact"/>
        </w:trPr>
        <w:tc>
          <w:tcPr>
            <w:shd w:val="clear" w:color="auto" w:fill="FFFFFF"/>
            <w:tcBorders>
              <w:left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cBorders>
            <w:vAlign w:val="bottom"/>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Кирпич</w:t>
            </w:r>
          </w:p>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керамический</w:t>
            </w:r>
          </w:p>
        </w:tc>
        <w:tc>
          <w:tcPr>
            <w:shd w:val="clear" w:color="auto" w:fill="FFFFFF"/>
            <w:tcBorders>
              <w:left w:val="single" w:sz="4"/>
              <w:top w:val="single" w:sz="4"/>
            </w:tcBorders>
            <w:vAlign w:val="top"/>
          </w:tcPr>
          <w:p>
            <w:pPr>
              <w:pStyle w:val="Style17"/>
              <w:framePr w:w="965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7"/>
              </w:rPr>
              <w:t>Марка по морозостойкости по ГОСТ 530-2012</w:t>
            </w: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lang w:val="en-US" w:eastAsia="en-US" w:bidi="en-US"/>
              </w:rPr>
              <w:t>F100</w:t>
            </w:r>
          </w:p>
        </w:tc>
        <w:tc>
          <w:tcPr>
            <w:shd w:val="clear" w:color="auto" w:fill="FFFFFF"/>
            <w:tcBorders>
              <w:left w:val="single" w:sz="4"/>
              <w:right w:val="single" w:sz="4"/>
              <w:top w:val="single" w:sz="4"/>
            </w:tcBorders>
            <w:vAlign w:val="top"/>
          </w:tcPr>
          <w:p>
            <w:pPr>
              <w:framePr w:w="9658" w:wrap="notBeside" w:vAnchor="text" w:hAnchor="text" w:xAlign="center" w:y="1"/>
              <w:widowControl w:val="0"/>
              <w:rPr>
                <w:sz w:val="10"/>
                <w:szCs w:val="10"/>
              </w:rPr>
            </w:pPr>
          </w:p>
        </w:tc>
      </w:tr>
      <w:tr>
        <w:trPr>
          <w:trHeight w:val="197" w:hRule="exact"/>
        </w:trPr>
        <w:tc>
          <w:tcPr>
            <w:shd w:val="clear" w:color="auto" w:fill="FFFFFF"/>
            <w:tcBorders>
              <w:left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cBorders>
            <w:vAlign w:val="top"/>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рядовой и</w:t>
            </w:r>
          </w:p>
        </w:tc>
        <w:tc>
          <w:tcPr>
            <w:shd w:val="clear" w:color="auto" w:fill="FFFFFF"/>
            <w:tcBorders>
              <w:left w:val="single" w:sz="4"/>
              <w:top w:val="single" w:sz="4"/>
            </w:tcBorders>
            <w:vAlign w:val="top"/>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Длина по ГОСТ 530-2012</w:t>
            </w:r>
          </w:p>
        </w:tc>
        <w:tc>
          <w:tcPr>
            <w:shd w:val="clear" w:color="auto" w:fill="FFFFFF"/>
            <w:tcBorders>
              <w:left w:val="single" w:sz="4"/>
              <w:top w:val="single" w:sz="4"/>
            </w:tcBorders>
            <w:vAlign w:val="top"/>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мм</w:t>
            </w: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250</w:t>
            </w:r>
          </w:p>
        </w:tc>
        <w:tc>
          <w:tcPr>
            <w:shd w:val="clear" w:color="auto" w:fill="FFFFFF"/>
            <w:tcBorders>
              <w:left w:val="single" w:sz="4"/>
              <w:right w:val="single" w:sz="4"/>
              <w:top w:val="single" w:sz="4"/>
            </w:tcBorders>
            <w:vAlign w:val="top"/>
          </w:tcPr>
          <w:p>
            <w:pPr>
              <w:framePr w:w="9658" w:wrap="notBeside" w:vAnchor="text" w:hAnchor="text" w:xAlign="center" w:y="1"/>
              <w:widowControl w:val="0"/>
              <w:rPr>
                <w:sz w:val="10"/>
                <w:szCs w:val="10"/>
              </w:rPr>
            </w:pPr>
          </w:p>
        </w:tc>
      </w:tr>
      <w:tr>
        <w:trPr>
          <w:trHeight w:val="384" w:hRule="exact"/>
        </w:trPr>
        <w:tc>
          <w:tcPr>
            <w:shd w:val="clear" w:color="auto" w:fill="FFFFFF"/>
            <w:tcBorders>
              <w:left w:val="single" w:sz="4"/>
            </w:tcBorders>
            <w:vAlign w:val="bottom"/>
          </w:tcPr>
          <w:p>
            <w:pPr>
              <w:pStyle w:val="Style17"/>
              <w:framePr w:w="9658"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38"/>
              </w:rPr>
              <w:t>18.</w:t>
            </w:r>
          </w:p>
        </w:tc>
        <w:tc>
          <w:tcPr>
            <w:shd w:val="clear" w:color="auto" w:fill="FFFFFF"/>
            <w:vMerge w:val="restart"/>
            <w:tcBorders>
              <w:left w:val="single" w:sz="4"/>
            </w:tcBorders>
            <w:vAlign w:val="top"/>
          </w:tcPr>
          <w:p>
            <w:pPr>
              <w:pStyle w:val="Style17"/>
              <w:framePr w:w="965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7"/>
              </w:rPr>
              <w:t>клинкерный</w:t>
            </w:r>
          </w:p>
          <w:p>
            <w:pPr>
              <w:pStyle w:val="Style17"/>
              <w:framePr w:w="965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7"/>
              </w:rPr>
              <w:t>Российская</w:t>
            </w:r>
          </w:p>
          <w:p>
            <w:pPr>
              <w:pStyle w:val="Style17"/>
              <w:framePr w:w="965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7"/>
              </w:rPr>
              <w:t>Федерация</w:t>
            </w:r>
          </w:p>
        </w:tc>
        <w:tc>
          <w:tcPr>
            <w:shd w:val="clear" w:color="auto" w:fill="FFFFFF"/>
            <w:tcBorders>
              <w:left w:val="single" w:sz="4"/>
              <w:top w:val="single" w:sz="4"/>
            </w:tcBorders>
            <w:vAlign w:val="center"/>
          </w:tcPr>
          <w:p>
            <w:pPr>
              <w:pStyle w:val="Style17"/>
              <w:framePr w:w="965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7"/>
              </w:rPr>
              <w:t>Ширина по ГОСТ 530- 2012</w:t>
            </w:r>
          </w:p>
        </w:tc>
        <w:tc>
          <w:tcPr>
            <w:shd w:val="clear" w:color="auto" w:fill="FFFFFF"/>
            <w:tcBorders>
              <w:left w:val="single" w:sz="4"/>
              <w:top w:val="single" w:sz="4"/>
            </w:tcBorders>
            <w:vAlign w:val="center"/>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мм</w:t>
            </w: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120</w:t>
            </w:r>
          </w:p>
        </w:tc>
        <w:tc>
          <w:tcPr>
            <w:shd w:val="clear" w:color="auto" w:fill="FFFFFF"/>
            <w:tcBorders>
              <w:left w:val="single" w:sz="4"/>
              <w:right w:val="single" w:sz="4"/>
              <w:top w:val="single" w:sz="4"/>
            </w:tcBorders>
            <w:vAlign w:val="top"/>
          </w:tcPr>
          <w:p>
            <w:pPr>
              <w:framePr w:w="9658" w:wrap="notBeside" w:vAnchor="text" w:hAnchor="text" w:xAlign="center" w:y="1"/>
              <w:widowControl w:val="0"/>
              <w:rPr>
                <w:sz w:val="10"/>
                <w:szCs w:val="10"/>
              </w:rPr>
            </w:pPr>
          </w:p>
        </w:tc>
      </w:tr>
      <w:tr>
        <w:trPr>
          <w:trHeight w:val="379" w:hRule="exact"/>
        </w:trPr>
        <w:tc>
          <w:tcPr>
            <w:shd w:val="clear" w:color="auto" w:fill="FFFFFF"/>
            <w:tcBorders>
              <w:left w:val="single" w:sz="4"/>
            </w:tcBorders>
            <w:vAlign w:val="top"/>
          </w:tcPr>
          <w:p>
            <w:pPr>
              <w:framePr w:w="9658" w:wrap="notBeside" w:vAnchor="text" w:hAnchor="text" w:xAlign="center" w:y="1"/>
              <w:widowControl w:val="0"/>
              <w:rPr>
                <w:sz w:val="10"/>
                <w:szCs w:val="10"/>
              </w:rPr>
            </w:pPr>
          </w:p>
        </w:tc>
        <w:tc>
          <w:tcPr>
            <w:shd w:val="clear" w:color="auto" w:fill="FFFFFF"/>
            <w:vMerge/>
            <w:tcBorders>
              <w:left w:val="single" w:sz="4"/>
            </w:tcBorders>
            <w:vAlign w:val="top"/>
          </w:tcPr>
          <w:p>
            <w:pPr>
              <w:framePr w:w="9658" w:wrap="notBeside" w:vAnchor="text" w:hAnchor="text" w:xAlign="center" w:y="1"/>
            </w:pPr>
          </w:p>
        </w:tc>
        <w:tc>
          <w:tcPr>
            <w:shd w:val="clear" w:color="auto" w:fill="FFFFFF"/>
            <w:tcBorders>
              <w:left w:val="single" w:sz="4"/>
              <w:top w:val="single" w:sz="4"/>
            </w:tcBorders>
            <w:vAlign w:val="bottom"/>
          </w:tcPr>
          <w:p>
            <w:pPr>
              <w:pStyle w:val="Style17"/>
              <w:framePr w:w="965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7"/>
              </w:rPr>
              <w:t>Толщина по ГОСТ 530- 2012</w:t>
            </w:r>
          </w:p>
        </w:tc>
        <w:tc>
          <w:tcPr>
            <w:shd w:val="clear" w:color="auto" w:fill="FFFFFF"/>
            <w:tcBorders>
              <w:left w:val="single" w:sz="4"/>
              <w:top w:val="single" w:sz="4"/>
            </w:tcBorders>
            <w:vAlign w:val="center"/>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мм</w:t>
            </w: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65</w:t>
            </w:r>
          </w:p>
        </w:tc>
        <w:tc>
          <w:tcPr>
            <w:shd w:val="clear" w:color="auto" w:fill="FFFFFF"/>
            <w:tcBorders>
              <w:left w:val="single" w:sz="4"/>
              <w:right w:val="single" w:sz="4"/>
              <w:top w:val="single" w:sz="4"/>
            </w:tcBorders>
            <w:vAlign w:val="top"/>
          </w:tcPr>
          <w:p>
            <w:pPr>
              <w:framePr w:w="9658" w:wrap="notBeside" w:vAnchor="text" w:hAnchor="text" w:xAlign="center" w:y="1"/>
              <w:widowControl w:val="0"/>
              <w:rPr>
                <w:sz w:val="10"/>
                <w:szCs w:val="10"/>
              </w:rPr>
            </w:pPr>
          </w:p>
        </w:tc>
      </w:tr>
      <w:tr>
        <w:trPr>
          <w:trHeight w:val="571" w:hRule="exact"/>
        </w:trPr>
        <w:tc>
          <w:tcPr>
            <w:shd w:val="clear" w:color="auto" w:fill="FFFFFF"/>
            <w:tcBorders>
              <w:left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7"/>
              <w:framePr w:w="9658"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37"/>
              </w:rPr>
              <w:t>Класс средней плотности изделия по ГОСТ 530- 2012</w:t>
            </w: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1.4</w:t>
            </w:r>
          </w:p>
        </w:tc>
        <w:tc>
          <w:tcPr>
            <w:shd w:val="clear" w:color="auto" w:fill="FFFFFF"/>
            <w:tcBorders>
              <w:left w:val="single" w:sz="4"/>
              <w:right w:val="single" w:sz="4"/>
              <w:top w:val="single" w:sz="4"/>
            </w:tcBorders>
            <w:vAlign w:val="top"/>
          </w:tcPr>
          <w:p>
            <w:pPr>
              <w:framePr w:w="9658" w:wrap="notBeside" w:vAnchor="text" w:hAnchor="text" w:xAlign="center" w:y="1"/>
              <w:widowControl w:val="0"/>
              <w:rPr>
                <w:sz w:val="10"/>
                <w:szCs w:val="10"/>
              </w:rPr>
            </w:pPr>
          </w:p>
        </w:tc>
      </w:tr>
      <w:tr>
        <w:trPr>
          <w:trHeight w:val="413" w:hRule="exact"/>
        </w:trPr>
        <w:tc>
          <w:tcPr>
            <w:shd w:val="clear" w:color="auto" w:fill="FFFFFF"/>
            <w:tcBorders>
              <w:left w:val="single" w:sz="4"/>
              <w:bottom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7"/>
              <w:framePr w:w="9658" w:wrap="notBeside" w:vAnchor="text" w:hAnchor="text" w:xAlign="center" w:y="1"/>
              <w:widowControl w:val="0"/>
              <w:keepNext w:val="0"/>
              <w:keepLines w:val="0"/>
              <w:shd w:val="clear" w:color="auto" w:fill="auto"/>
              <w:bidi w:val="0"/>
              <w:jc w:val="center"/>
              <w:spacing w:before="0" w:after="0" w:line="130" w:lineRule="exact"/>
              <w:ind w:left="0" w:right="0" w:firstLine="0"/>
            </w:pPr>
            <w:r>
              <w:rPr>
                <w:rStyle w:val="CharStyle37"/>
              </w:rPr>
              <w:t>Соответствует стандарту</w:t>
            </w:r>
          </w:p>
        </w:tc>
        <w:tc>
          <w:tcPr>
            <w:shd w:val="clear" w:color="auto" w:fill="FFFFFF"/>
            <w:tcBorders>
              <w:left w:val="single" w:sz="4"/>
              <w:top w:val="single" w:sz="4"/>
              <w:bottom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17"/>
              <w:framePr w:w="9658"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7"/>
              </w:rPr>
              <w:t xml:space="preserve">ГОСТ </w:t>
            </w:r>
            <w:r>
              <w:rPr>
                <w:rStyle w:val="CharStyle37"/>
                <w:lang w:val="en-US" w:eastAsia="en-US" w:bidi="en-US"/>
              </w:rPr>
              <w:t xml:space="preserve">S30- </w:t>
            </w:r>
            <w:r>
              <w:rPr>
                <w:rStyle w:val="CharStyle37"/>
              </w:rPr>
              <w:t>2012</w:t>
            </w:r>
          </w:p>
        </w:tc>
        <w:tc>
          <w:tcPr>
            <w:shd w:val="clear" w:color="auto" w:fill="FFFFFF"/>
            <w:tcBorders>
              <w:left w:val="single" w:sz="4"/>
              <w:top w:val="single" w:sz="4"/>
              <w:bottom w:val="single" w:sz="4"/>
            </w:tcBorders>
            <w:vAlign w:val="top"/>
          </w:tcPr>
          <w:p>
            <w:pPr>
              <w:framePr w:w="965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658" w:wrap="notBeside" w:vAnchor="text" w:hAnchor="text" w:xAlign="center" w:y="1"/>
              <w:widowControl w:val="0"/>
              <w:rPr>
                <w:sz w:val="10"/>
                <w:szCs w:val="10"/>
              </w:rPr>
            </w:pPr>
          </w:p>
        </w:tc>
      </w:tr>
    </w:tbl>
    <w:p>
      <w:pPr>
        <w:widowControl w:val="0"/>
        <w:rPr>
          <w:sz w:val="2"/>
          <w:szCs w:val="2"/>
        </w:rPr>
      </w:pPr>
    </w:p>
    <w:p>
      <w:pPr>
        <w:pStyle w:val="Style17"/>
        <w:widowControl w:val="0"/>
        <w:keepNext w:val="0"/>
        <w:keepLines w:val="0"/>
        <w:shd w:val="clear" w:color="auto" w:fill="auto"/>
        <w:bidi w:val="0"/>
        <w:spacing w:before="0" w:after="0" w:line="274" w:lineRule="exact"/>
        <w:ind w:left="40" w:right="140" w:firstLine="680"/>
      </w:pPr>
      <w:r>
        <w:rPr>
          <w:lang w:val="ru-RU" w:eastAsia="ru-RU" w:bidi="ru-RU"/>
          <w:w w:val="100"/>
          <w:spacing w:val="0"/>
          <w:color w:val="000000"/>
          <w:position w:val="0"/>
        </w:rPr>
        <w:t>Таким образом, показатели представленные в составе заявки на участие в электронном аукционе соответствуют требованиям документации об электронном аукционе и ГОСТ 530-2012.</w:t>
      </w:r>
    </w:p>
    <w:p>
      <w:pPr>
        <w:pStyle w:val="Style17"/>
        <w:widowControl w:val="0"/>
        <w:keepNext w:val="0"/>
        <w:keepLines w:val="0"/>
        <w:shd w:val="clear" w:color="auto" w:fill="auto"/>
        <w:bidi w:val="0"/>
        <w:spacing w:before="0" w:after="0" w:line="274" w:lineRule="exact"/>
        <w:ind w:left="40" w:right="140" w:firstLine="560"/>
      </w:pPr>
      <w:r>
        <w:rPr>
          <w:lang w:val="ru-RU" w:eastAsia="ru-RU" w:bidi="ru-RU"/>
          <w:w w:val="100"/>
          <w:spacing w:val="0"/>
          <w:color w:val="000000"/>
          <w:position w:val="0"/>
        </w:rPr>
        <w:t>Согласно протоколу рассмотрения заявок на участие в электронном аукционе от 26.10.2017 № 0117300067817000094-1 заявке ООО «Гарант» отказано в допуске, в том числе, по следующему основанию:</w:t>
      </w:r>
    </w:p>
    <w:p>
      <w:pPr>
        <w:pStyle w:val="Style17"/>
        <w:widowControl w:val="0"/>
        <w:keepNext w:val="0"/>
        <w:keepLines w:val="0"/>
        <w:shd w:val="clear" w:color="auto" w:fill="auto"/>
        <w:bidi w:val="0"/>
        <w:spacing w:before="0" w:after="0" w:line="274" w:lineRule="exact"/>
        <w:ind w:left="40" w:right="140" w:firstLine="560"/>
      </w:pPr>
      <w:r>
        <w:rPr>
          <w:lang w:val="ru-RU" w:eastAsia="ru-RU" w:bidi="ru-RU"/>
          <w:w w:val="100"/>
          <w:spacing w:val="0"/>
          <w:color w:val="000000"/>
          <w:position w:val="0"/>
        </w:rPr>
        <w:t>В п.6 «Пена монтажная» Участником не указан товарный знак предприятия- изготовителя. Согласно ГОСТ Р 51697-2000 п.3.3.1.2 указание товарного знака предприятия изготовителя является обязательным.</w:t>
      </w:r>
    </w:p>
    <w:p>
      <w:pPr>
        <w:pStyle w:val="Style17"/>
        <w:widowControl w:val="0"/>
        <w:keepNext w:val="0"/>
        <w:keepLines w:val="0"/>
        <w:shd w:val="clear" w:color="auto" w:fill="auto"/>
        <w:bidi w:val="0"/>
        <w:spacing w:before="0" w:after="0" w:line="274" w:lineRule="exact"/>
        <w:ind w:left="40" w:right="140" w:firstLine="560"/>
      </w:pPr>
      <w:r>
        <w:rPr>
          <w:lang w:val="ru-RU" w:eastAsia="ru-RU" w:bidi="ru-RU"/>
          <w:w w:val="100"/>
          <w:spacing w:val="0"/>
          <w:color w:val="000000"/>
          <w:position w:val="0"/>
        </w:rPr>
        <w:t>Как указал представитель заказчика, решение об отказе в допуске было мотивировано следующим: Необходимость указания товарного знака (при его наличии) установлена пунктом 3 части 3 статьи 66. Кроме того, согласно п.3.3.1.2 ГОСТ Р 51697-2000 для товара «Пена монтажная» указание товарного знака предприятия изготовителя является обязательным.</w:t>
      </w:r>
    </w:p>
    <w:p>
      <w:pPr>
        <w:pStyle w:val="Style17"/>
        <w:widowControl w:val="0"/>
        <w:keepNext w:val="0"/>
        <w:keepLines w:val="0"/>
        <w:shd w:val="clear" w:color="auto" w:fill="auto"/>
        <w:bidi w:val="0"/>
        <w:spacing w:before="0" w:after="0" w:line="274" w:lineRule="exact"/>
        <w:ind w:left="40" w:right="140" w:firstLine="560"/>
      </w:pPr>
      <w:r>
        <w:rPr>
          <w:lang w:val="ru-RU" w:eastAsia="ru-RU" w:bidi="ru-RU"/>
          <w:w w:val="100"/>
          <w:spacing w:val="0"/>
          <w:color w:val="000000"/>
          <w:position w:val="0"/>
        </w:rPr>
        <w:t>Вместе с тем, Комиссия УФАС по Алтайскому краю по контролю в сфере закупок полагает, что указанные доводы представителя заказчика не могут быть приняты во внимание в силу следующего.</w:t>
      </w:r>
    </w:p>
    <w:p>
      <w:pPr>
        <w:pStyle w:val="Style17"/>
        <w:widowControl w:val="0"/>
        <w:keepNext w:val="0"/>
        <w:keepLines w:val="0"/>
        <w:shd w:val="clear" w:color="auto" w:fill="auto"/>
        <w:bidi w:val="0"/>
        <w:spacing w:before="0" w:after="0" w:line="274" w:lineRule="exact"/>
        <w:ind w:left="40" w:right="140" w:firstLine="560"/>
      </w:pPr>
      <w:r>
        <w:rPr>
          <w:lang w:val="ru-RU" w:eastAsia="ru-RU" w:bidi="ru-RU"/>
          <w:w w:val="100"/>
          <w:spacing w:val="0"/>
          <w:color w:val="000000"/>
          <w:position w:val="0"/>
        </w:rPr>
        <w:t>Позиция заказчика при рассмотрении заявок фактически подразумевает необходимость указать наименование товарного знака предприятия-изготовителя, что является недопустимым с точки зрения действующего законодательства.</w:t>
      </w:r>
    </w:p>
    <w:p>
      <w:pPr>
        <w:pStyle w:val="Style17"/>
        <w:widowControl w:val="0"/>
        <w:keepNext w:val="0"/>
        <w:keepLines w:val="0"/>
        <w:shd w:val="clear" w:color="auto" w:fill="auto"/>
        <w:bidi w:val="0"/>
        <w:spacing w:before="0" w:after="0" w:line="274" w:lineRule="exact"/>
        <w:ind w:left="40" w:right="140" w:firstLine="560"/>
      </w:pPr>
      <w:r>
        <w:rPr>
          <w:lang w:val="ru-RU" w:eastAsia="ru-RU" w:bidi="ru-RU"/>
          <w:w w:val="100"/>
          <w:spacing w:val="0"/>
          <w:color w:val="000000"/>
          <w:position w:val="0"/>
        </w:rPr>
        <w:t>Исходя из позиции ФАС России, изложенной в Письме от 01.07.2016г. № ИА/44535/16 «Об установлении заказчиком требований к составу, инструкции по заполнению заявки на участие в закупке», следует что участник не обязан иметь в наличии товар на момент подачи заявки.</w:t>
      </w:r>
    </w:p>
    <w:p>
      <w:pPr>
        <w:pStyle w:val="Style17"/>
        <w:widowControl w:val="0"/>
        <w:keepNext w:val="0"/>
        <w:keepLines w:val="0"/>
        <w:shd w:val="clear" w:color="auto" w:fill="auto"/>
        <w:bidi w:val="0"/>
        <w:spacing w:before="0" w:after="0" w:line="274" w:lineRule="exact"/>
        <w:ind w:left="40" w:right="140" w:firstLine="560"/>
      </w:pPr>
      <w:r>
        <w:rPr>
          <w:lang w:val="ru-RU" w:eastAsia="ru-RU" w:bidi="ru-RU"/>
          <w:w w:val="100"/>
          <w:spacing w:val="0"/>
          <w:color w:val="000000"/>
          <w:position w:val="0"/>
        </w:rPr>
        <w:t>Таким образом, позиция заказчика о необходимости указания фирменного наименования в составе заявке, свидетельствует о том, что заказчик предполагает обязанность участника закупки иметь товар, предполагаемый к поставке на момент подачи заявки, что противоречит сформированной правовой позиции.</w:t>
      </w:r>
    </w:p>
    <w:p>
      <w:pPr>
        <w:pStyle w:val="Style17"/>
        <w:widowControl w:val="0"/>
        <w:keepNext w:val="0"/>
        <w:keepLines w:val="0"/>
        <w:shd w:val="clear" w:color="auto" w:fill="auto"/>
        <w:bidi w:val="0"/>
        <w:spacing w:before="0" w:after="0" w:line="274" w:lineRule="exact"/>
        <w:ind w:left="40" w:right="140" w:firstLine="560"/>
      </w:pPr>
      <w:r>
        <w:rPr>
          <w:lang w:val="ru-RU" w:eastAsia="ru-RU" w:bidi="ru-RU"/>
          <w:w w:val="100"/>
          <w:spacing w:val="0"/>
          <w:color w:val="000000"/>
          <w:position w:val="0"/>
        </w:rPr>
        <w:t>Согласно справке к ГОСТ Р 51697-2000 применение данного документа осуществляется в добровольном порядке, за исключением обязательных требований, обеспечивающих достижение целей законодательства Российской Федерации о техническом регулировании.</w:t>
      </w:r>
    </w:p>
    <w:p>
      <w:pPr>
        <w:pStyle w:val="Style17"/>
        <w:widowControl w:val="0"/>
        <w:keepNext w:val="0"/>
        <w:keepLines w:val="0"/>
        <w:shd w:val="clear" w:color="auto" w:fill="auto"/>
        <w:bidi w:val="0"/>
        <w:spacing w:before="0" w:after="0" w:line="274" w:lineRule="exact"/>
        <w:ind w:left="40" w:right="140" w:firstLine="560"/>
      </w:pPr>
      <w:r>
        <w:rPr>
          <w:lang w:val="ru-RU" w:eastAsia="ru-RU" w:bidi="ru-RU"/>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r>
        <w:br w:type="page"/>
      </w:r>
    </w:p>
    <w:p>
      <w:pPr>
        <w:pStyle w:val="Style17"/>
        <w:numPr>
          <w:ilvl w:val="0"/>
          <w:numId w:val="3"/>
        </w:numPr>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 xml:space="preserve"> непредоставлепия информации, предусмотренной частью 3 статьи 66 Закона о контрактной системе, или предоставления недостоверной информации;</w:t>
      </w:r>
    </w:p>
    <w:p>
      <w:pPr>
        <w:pStyle w:val="Style17"/>
        <w:numPr>
          <w:ilvl w:val="0"/>
          <w:numId w:val="3"/>
        </w:numPr>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17"/>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Ч. 5 ст. 67 Закона о контрактной системе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17"/>
        <w:widowControl w:val="0"/>
        <w:keepNext w:val="0"/>
        <w:keepLines w:val="0"/>
        <w:shd w:val="clear" w:color="auto" w:fill="auto"/>
        <w:bidi w:val="0"/>
        <w:spacing w:before="0" w:after="0"/>
        <w:ind w:left="20" w:right="0" w:firstLine="540"/>
      </w:pPr>
      <w:r>
        <w:rPr>
          <w:lang w:val="ru-RU" w:eastAsia="ru-RU" w:bidi="ru-RU"/>
          <w:w w:val="100"/>
          <w:spacing w:val="0"/>
          <w:color w:val="000000"/>
          <w:position w:val="0"/>
        </w:rPr>
        <w:t>Учитывая изложенное, довод жалобы является обоснованным.</w:t>
      </w:r>
    </w:p>
    <w:p>
      <w:pPr>
        <w:pStyle w:val="Style17"/>
        <w:widowControl w:val="0"/>
        <w:keepNext w:val="0"/>
        <w:keepLines w:val="0"/>
        <w:shd w:val="clear" w:color="auto" w:fill="auto"/>
        <w:bidi w:val="0"/>
        <w:spacing w:before="0" w:after="0"/>
        <w:ind w:left="20" w:right="600" w:firstLine="540"/>
      </w:pPr>
      <w:r>
        <w:rPr>
          <w:lang w:val="ru-RU" w:eastAsia="ru-RU" w:bidi="ru-RU"/>
          <w:w w:val="100"/>
          <w:spacing w:val="0"/>
          <w:color w:val="000000"/>
          <w:position w:val="0"/>
        </w:rPr>
        <w:t>Предписание не выдавать, поскольку оно было выдано при рассмотрении жалобы ООО «Строй-Мастер» (№ 733/17).</w:t>
      </w:r>
    </w:p>
    <w:p>
      <w:pPr>
        <w:pStyle w:val="Style17"/>
        <w:widowControl w:val="0"/>
        <w:keepNext w:val="0"/>
        <w:keepLines w:val="0"/>
        <w:shd w:val="clear" w:color="auto" w:fill="auto"/>
        <w:bidi w:val="0"/>
        <w:spacing w:before="0" w:after="295"/>
        <w:ind w:left="20" w:right="0" w:firstLine="540"/>
      </w:pPr>
      <w:r>
        <w:rPr>
          <w:lang w:val="ru-RU" w:eastAsia="ru-RU" w:bidi="ru-RU"/>
          <w:w w:val="100"/>
          <w:spacing w:val="0"/>
          <w:color w:val="000000"/>
          <w:position w:val="0"/>
        </w:rPr>
        <w:t>Комиссия, руководствуясь ст. 99, 105. 106 Закона о контрактной системе.</w:t>
      </w:r>
    </w:p>
    <w:p>
      <w:pPr>
        <w:pStyle w:val="Style17"/>
        <w:widowControl w:val="0"/>
        <w:keepNext w:val="0"/>
        <w:keepLines w:val="0"/>
        <w:shd w:val="clear" w:color="auto" w:fill="auto"/>
        <w:bidi w:val="0"/>
        <w:jc w:val="center"/>
        <w:spacing w:before="0" w:after="0" w:line="210" w:lineRule="exact"/>
        <w:ind w:left="240" w:right="0" w:firstLine="0"/>
      </w:pPr>
      <w:r>
        <w:rPr>
          <w:lang w:val="ru-RU" w:eastAsia="ru-RU" w:bidi="ru-RU"/>
          <w:w w:val="100"/>
          <w:spacing w:val="0"/>
          <w:color w:val="000000"/>
          <w:position w:val="0"/>
        </w:rPr>
        <w:t>РЕШИЛА:</w:t>
      </w:r>
    </w:p>
    <w:p>
      <w:pPr>
        <w:pStyle w:val="Style17"/>
        <w:numPr>
          <w:ilvl w:val="0"/>
          <w:numId w:val="5"/>
        </w:numPr>
        <w:tabs>
          <w:tab w:leader="none" w:pos="5449"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Признать жалобу ООО «Гарант» обоснованной.</w:t>
      </w:r>
    </w:p>
    <w:p>
      <w:pPr>
        <w:pStyle w:val="Style17"/>
        <w:numPr>
          <w:ilvl w:val="0"/>
          <w:numId w:val="5"/>
        </w:numPr>
        <w:tabs>
          <w:tab w:leader="none" w:pos="6183" w:val="right"/>
          <w:tab w:leader="none" w:pos="9634"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Признать действия аукционной комиссии Заказчика -</w:t>
        <w:tab/>
        <w:t>МКУ «Управление капитального</w:t>
      </w:r>
    </w:p>
    <w:p>
      <w:pPr>
        <w:pStyle w:val="Style17"/>
        <w:widowControl w:val="0"/>
        <w:keepNext w:val="0"/>
        <w:keepLines w:val="0"/>
        <w:shd w:val="clear" w:color="auto" w:fill="auto"/>
        <w:bidi w:val="0"/>
        <w:jc w:val="left"/>
        <w:spacing w:before="0" w:after="0" w:line="274" w:lineRule="exact"/>
        <w:ind w:left="20" w:right="600" w:firstLine="0"/>
      </w:pPr>
      <w:r>
        <w:rPr>
          <w:lang w:val="ru-RU" w:eastAsia="ru-RU" w:bidi="ru-RU"/>
          <w:w w:val="100"/>
          <w:spacing w:val="0"/>
          <w:color w:val="000000"/>
          <w:position w:val="0"/>
        </w:rPr>
        <w:t>строительства Администрации города Ьийска» при проведении закупки, выразившиеся в нарушении ч. 5 ст. 67 Закона о контрактной системе неправомерными.</w:t>
      </w:r>
    </w:p>
    <w:p>
      <w:pPr>
        <w:pStyle w:val="Style17"/>
        <w:numPr>
          <w:ilvl w:val="0"/>
          <w:numId w:val="5"/>
        </w:numPr>
        <w:widowControl w:val="0"/>
        <w:keepNext w:val="0"/>
        <w:keepLines w:val="0"/>
        <w:shd w:val="clear" w:color="auto" w:fill="auto"/>
        <w:bidi w:val="0"/>
        <w:spacing w:before="0" w:after="0" w:line="274" w:lineRule="exact"/>
        <w:ind w:left="20" w:right="240" w:firstLine="0"/>
      </w:pPr>
      <w:r>
        <w:rPr>
          <w:lang w:val="ru-RU" w:eastAsia="ru-RU" w:bidi="ru-RU"/>
          <w:w w:val="100"/>
          <w:spacing w:val="0"/>
          <w:color w:val="000000"/>
          <w:position w:val="0"/>
        </w:rPr>
        <w:t xml:space="preserve"> Передать материалы дела должностному лицу УФАС по Алтайскому краю для принятия решения о привлечении виновных лиц к административной ответственности.</w:t>
      </w:r>
    </w:p>
    <w:p>
      <w:pPr>
        <w:pStyle w:val="Style17"/>
        <w:framePr w:h="203" w:wrap="around" w:vAnchor="text" w:hAnchor="margin" w:x="7843" w:y="807"/>
        <w:widowControl w:val="0"/>
        <w:keepNext w:val="0"/>
        <w:keepLines w:val="0"/>
        <w:shd w:val="clear" w:color="auto" w:fill="auto"/>
        <w:bidi w:val="0"/>
        <w:jc w:val="left"/>
        <w:spacing w:before="0" w:after="0" w:line="200" w:lineRule="exact"/>
        <w:ind w:left="100" w:right="0" w:firstLine="0"/>
      </w:pPr>
      <w:r>
        <w:rPr>
          <w:rStyle w:val="CharStyle18"/>
          <w:spacing w:val="0"/>
        </w:rPr>
        <w:t>А. В. Кочетков;</w:t>
      </w:r>
    </w:p>
    <w:p>
      <w:pPr>
        <w:pStyle w:val="Style17"/>
        <w:tabs>
          <w:tab w:leader="none" w:pos="6649" w:val="center"/>
        </w:tabs>
        <w:widowControl w:val="0"/>
        <w:keepNext w:val="0"/>
        <w:keepLines w:val="0"/>
        <w:shd w:val="clear" w:color="auto" w:fill="auto"/>
        <w:bidi w:val="0"/>
        <w:jc w:val="left"/>
        <w:spacing w:before="0" w:after="291" w:line="274" w:lineRule="exact"/>
        <w:ind w:left="20" w:right="0" w:firstLine="540"/>
      </w:pPr>
      <w:r>
        <w:rPr>
          <w:lang w:val="ru-RU" w:eastAsia="ru-RU" w:bidi="ru-RU"/>
          <w:w w:val="100"/>
          <w:spacing w:val="0"/>
          <w:color w:val="000000"/>
          <w:position w:val="0"/>
        </w:rPr>
        <w:t>Решение может быть обжаловано в судебном порядке в течении трех месяцев со дня его принятия.</w:t>
        <w:tab/>
      </w:r>
      <w:r>
        <w:rPr>
          <w:rStyle w:val="CharStyle39"/>
        </w:rPr>
        <w:t>:-ЖТ~</w:t>
      </w:r>
    </w:p>
    <w:p>
      <w:pPr>
        <w:pStyle w:val="Style17"/>
        <w:framePr w:h="213" w:wrap="around" w:vAnchor="text" w:hAnchor="margin" w:x="7852" w:y="543"/>
        <w:widowControl w:val="0"/>
        <w:keepNext w:val="0"/>
        <w:keepLines w:val="0"/>
        <w:shd w:val="clear" w:color="auto" w:fill="auto"/>
        <w:bidi w:val="0"/>
        <w:jc w:val="left"/>
        <w:spacing w:before="0" w:after="0" w:line="200" w:lineRule="exact"/>
        <w:ind w:left="100" w:right="0" w:firstLine="0"/>
      </w:pPr>
      <w:r>
        <w:rPr>
          <w:rStyle w:val="CharStyle18"/>
          <w:spacing w:val="0"/>
        </w:rPr>
        <w:t>И. В. Миненок</w:t>
      </w:r>
    </w:p>
    <w:p>
      <w:pPr>
        <w:pStyle w:val="Style17"/>
        <w:widowControl w:val="0"/>
        <w:keepNext w:val="0"/>
        <w:keepLines w:val="0"/>
        <w:shd w:val="clear" w:color="auto" w:fill="auto"/>
        <w:bidi w:val="0"/>
        <w:spacing w:before="0" w:after="313" w:line="210" w:lineRule="exact"/>
        <w:ind w:left="20" w:right="0" w:firstLine="0"/>
      </w:pPr>
      <w:r>
        <w:rPr>
          <w:lang w:val="ru-RU" w:eastAsia="ru-RU" w:bidi="ru-RU"/>
          <w:w w:val="100"/>
          <w:spacing w:val="0"/>
          <w:color w:val="000000"/>
          <w:position w:val="0"/>
        </w:rPr>
        <w:t>Председатель Комиссии</w:t>
      </w:r>
    </w:p>
    <w:p>
      <w:pPr>
        <w:pStyle w:val="Style17"/>
        <w:framePr w:h="213" w:wrap="notBeside" w:vAnchor="text" w:hAnchor="margin" w:x="7852" w:y="534"/>
        <w:widowControl w:val="0"/>
        <w:keepNext w:val="0"/>
        <w:keepLines w:val="0"/>
        <w:shd w:val="clear" w:color="auto" w:fill="auto"/>
        <w:bidi w:val="0"/>
        <w:jc w:val="left"/>
        <w:spacing w:before="0" w:after="0" w:line="200" w:lineRule="exact"/>
        <w:ind w:left="100" w:right="0" w:firstLine="0"/>
      </w:pPr>
      <w:r>
        <w:rPr>
          <w:rStyle w:val="CharStyle18"/>
          <w:spacing w:val="0"/>
        </w:rPr>
        <w:t>К.С. Стадниченко</w:t>
      </w:r>
    </w:p>
    <w:p>
      <w:pPr>
        <w:pStyle w:val="Style17"/>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Члены комиссии:</w:t>
      </w:r>
      <w:r>
        <w:br w:type="page"/>
      </w:r>
    </w:p>
    <w:sectPr>
      <w:footnotePr>
        <w:pos w:val="pageBottom"/>
        <w:numFmt w:val="decimal"/>
        <w:numRestart w:val="continuous"/>
      </w:footnotePr>
      <w:type w:val="continuous"/>
      <w:pgSz w:w="11906" w:h="16838"/>
      <w:pgMar w:top="1627" w:left="1321" w:right="361" w:bottom="8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sz w:val="18"/>
      <w:szCs w:val="18"/>
      <w:rFonts w:ascii="Times New Roman" w:eastAsia="Times New Roman" w:hAnsi="Times New Roman" w:cs="Times New Roman"/>
      <w:spacing w:val="14"/>
    </w:rPr>
  </w:style>
  <w:style w:type="character" w:customStyle="1" w:styleId="CharStyle5">
    <w:name w:val="Основной текст (3) Exact"/>
    <w:basedOn w:val="CharStyle4"/>
    <w:rPr>
      <w:lang w:val="ru-RU" w:eastAsia="ru-RU" w:bidi="ru-RU"/>
      <w:w w:val="100"/>
      <w:color w:val="000000"/>
      <w:position w:val="0"/>
    </w:rPr>
  </w:style>
  <w:style w:type="character" w:customStyle="1" w:styleId="CharStyle7">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8"/>
    </w:rPr>
  </w:style>
  <w:style w:type="character" w:customStyle="1" w:styleId="CharStyle8">
    <w:name w:val="Основной текст (2) Exact"/>
    <w:basedOn w:val="CharStyle20"/>
    <w:rPr>
      <w:sz w:val="21"/>
      <w:szCs w:val="21"/>
      <w:spacing w:val="8"/>
    </w:rPr>
  </w:style>
  <w:style w:type="character" w:customStyle="1" w:styleId="CharStyle10">
    <w:name w:val="Основной текст (4) Exact"/>
    <w:basedOn w:val="DefaultParagraphFont"/>
    <w:link w:val="Style9"/>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11">
    <w:name w:val="Основной текст (4) Exact"/>
    <w:basedOn w:val="CharStyle10"/>
    <w:rPr>
      <w:lang w:val="ru-RU" w:eastAsia="ru-RU" w:bidi="ru-RU"/>
      <w:w w:val="100"/>
      <w:color w:val="000000"/>
      <w:position w:val="0"/>
    </w:rPr>
  </w:style>
  <w:style w:type="character" w:customStyle="1" w:styleId="CharStyle13">
    <w:name w:val="Основной текст (5) Exact"/>
    <w:basedOn w:val="DefaultParagraphFont"/>
    <w:link w:val="Style12"/>
    <w:rPr>
      <w:b w:val="0"/>
      <w:bCs w:val="0"/>
      <w:i w:val="0"/>
      <w:iCs w:val="0"/>
      <w:u w:val="none"/>
      <w:strike w:val="0"/>
      <w:smallCaps w:val="0"/>
      <w:sz w:val="30"/>
      <w:szCs w:val="30"/>
      <w:rFonts w:ascii="Times New Roman" w:eastAsia="Times New Roman" w:hAnsi="Times New Roman" w:cs="Times New Roman"/>
      <w:spacing w:val="4"/>
    </w:rPr>
  </w:style>
  <w:style w:type="character" w:customStyle="1" w:styleId="CharStyle14">
    <w:name w:val="Основной текст (5) Exact"/>
    <w:basedOn w:val="CharStyle13"/>
    <w:rPr>
      <w:lang w:val="ru-RU" w:eastAsia="ru-RU" w:bidi="ru-RU"/>
      <w:w w:val="100"/>
      <w:color w:val="000000"/>
      <w:position w:val="0"/>
    </w:rPr>
  </w:style>
  <w:style w:type="character" w:customStyle="1" w:styleId="CharStyle15">
    <w:name w:val="Основной текст (5) + Курсив,Интервал 0 pt Exact"/>
    <w:basedOn w:val="CharStyle13"/>
    <w:rPr>
      <w:lang w:val="ru-RU" w:eastAsia="ru-RU" w:bidi="ru-RU"/>
      <w:i/>
      <w:iCs/>
      <w:w w:val="100"/>
      <w:spacing w:val="0"/>
      <w:color w:val="000000"/>
      <w:position w:val="0"/>
    </w:rPr>
  </w:style>
  <w:style w:type="character" w:customStyle="1" w:styleId="CharStyle16">
    <w:name w:val="Основной текст (5) Exact"/>
    <w:basedOn w:val="CharStyle13"/>
    <w:rPr>
      <w:lang w:val="1024"/>
      <w:w w:val="100"/>
      <w:color w:val="000000"/>
      <w:position w:val="0"/>
    </w:rPr>
  </w:style>
  <w:style w:type="character" w:customStyle="1" w:styleId="CharStyle18">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9">
    <w:name w:val="Основной текст_"/>
    <w:basedOn w:val="DefaultParagraphFont"/>
    <w:link w:val="Style17"/>
    <w:rPr>
      <w:b w:val="0"/>
      <w:bCs w:val="0"/>
      <w:i w:val="0"/>
      <w:iCs w:val="0"/>
      <w:u w:val="none"/>
      <w:strike w:val="0"/>
      <w:smallCaps w:val="0"/>
      <w:sz w:val="21"/>
      <w:szCs w:val="21"/>
      <w:rFonts w:ascii="Times New Roman" w:eastAsia="Times New Roman" w:hAnsi="Times New Roman" w:cs="Times New Roman"/>
    </w:rPr>
  </w:style>
  <w:style w:type="character" w:customStyle="1" w:styleId="CharStyle20">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22">
    <w:name w:val="Заголовок №1_"/>
    <w:basedOn w:val="DefaultParagraphFont"/>
    <w:link w:val="Style21"/>
    <w:rPr>
      <w:b w:val="0"/>
      <w:bCs w:val="0"/>
      <w:i w:val="0"/>
      <w:iCs w:val="0"/>
      <w:u w:val="none"/>
      <w:strike w:val="0"/>
      <w:smallCaps w:val="0"/>
      <w:sz w:val="26"/>
      <w:szCs w:val="26"/>
      <w:rFonts w:ascii="Times New Roman" w:eastAsia="Times New Roman" w:hAnsi="Times New Roman" w:cs="Times New Roman"/>
      <w:spacing w:val="40"/>
    </w:rPr>
  </w:style>
  <w:style w:type="character" w:customStyle="1" w:styleId="CharStyle23">
    <w:name w:val="Заголовок №1 + MS Gothic,17 pt,Интервал 0 pt"/>
    <w:basedOn w:val="CharStyle22"/>
    <w:rPr>
      <w:lang w:val="ru-RU" w:eastAsia="ru-RU" w:bidi="ru-RU"/>
      <w:sz w:val="34"/>
      <w:szCs w:val="34"/>
      <w:rFonts w:ascii="MS Gothic" w:eastAsia="MS Gothic" w:hAnsi="MS Gothic" w:cs="MS Gothic"/>
      <w:w w:val="100"/>
      <w:spacing w:val="0"/>
      <w:color w:val="000000"/>
      <w:position w:val="0"/>
    </w:rPr>
  </w:style>
  <w:style w:type="character" w:customStyle="1" w:styleId="CharStyle24">
    <w:name w:val="Основной текст + Курсив"/>
    <w:basedOn w:val="CharStyle19"/>
    <w:rPr>
      <w:lang w:val="ru-RU" w:eastAsia="ru-RU" w:bidi="ru-RU"/>
      <w:i/>
      <w:iCs/>
      <w:w w:val="100"/>
      <w:spacing w:val="0"/>
      <w:color w:val="000000"/>
      <w:position w:val="0"/>
    </w:rPr>
  </w:style>
  <w:style w:type="character" w:customStyle="1" w:styleId="CharStyle26">
    <w:name w:val="Основной текст (6)_"/>
    <w:basedOn w:val="DefaultParagraphFont"/>
    <w:link w:val="Style25"/>
    <w:rPr>
      <w:b w:val="0"/>
      <w:bCs w:val="0"/>
      <w:i/>
      <w:iCs/>
      <w:u w:val="none"/>
      <w:strike w:val="0"/>
      <w:smallCaps w:val="0"/>
      <w:sz w:val="21"/>
      <w:szCs w:val="21"/>
      <w:rFonts w:ascii="Times New Roman" w:eastAsia="Times New Roman" w:hAnsi="Times New Roman" w:cs="Times New Roman"/>
    </w:rPr>
  </w:style>
  <w:style w:type="character" w:customStyle="1" w:styleId="CharStyle27">
    <w:name w:val="Основной текст (6) + Не курсив"/>
    <w:basedOn w:val="CharStyle26"/>
    <w:rPr>
      <w:lang w:val="ru-RU" w:eastAsia="ru-RU" w:bidi="ru-RU"/>
      <w:i/>
      <w:iCs/>
      <w:w w:val="100"/>
      <w:spacing w:val="0"/>
      <w:color w:val="000000"/>
      <w:position w:val="0"/>
    </w:rPr>
  </w:style>
  <w:style w:type="character" w:customStyle="1" w:styleId="CharStyle29">
    <w:name w:val="Подпись к таблице (2)_"/>
    <w:basedOn w:val="DefaultParagraphFont"/>
    <w:link w:val="Style28"/>
    <w:rPr>
      <w:b w:val="0"/>
      <w:bCs w:val="0"/>
      <w:i w:val="0"/>
      <w:iCs w:val="0"/>
      <w:u w:val="none"/>
      <w:strike w:val="0"/>
      <w:smallCaps w:val="0"/>
      <w:sz w:val="12"/>
      <w:szCs w:val="12"/>
      <w:rFonts w:ascii="Tahoma" w:eastAsia="Tahoma" w:hAnsi="Tahoma" w:cs="Tahoma"/>
      <w:w w:val="150"/>
    </w:rPr>
  </w:style>
  <w:style w:type="character" w:customStyle="1" w:styleId="CharStyle30">
    <w:name w:val="Основной текст + Tahoma,6 pt,Масштаб 150%"/>
    <w:basedOn w:val="CharStyle19"/>
    <w:rPr>
      <w:lang w:val="ru-RU" w:eastAsia="ru-RU" w:bidi="ru-RU"/>
      <w:sz w:val="12"/>
      <w:szCs w:val="12"/>
      <w:rFonts w:ascii="Tahoma" w:eastAsia="Tahoma" w:hAnsi="Tahoma" w:cs="Tahoma"/>
      <w:w w:val="150"/>
      <w:spacing w:val="0"/>
      <w:color w:val="000000"/>
      <w:position w:val="0"/>
    </w:rPr>
  </w:style>
  <w:style w:type="character" w:customStyle="1" w:styleId="CharStyle31">
    <w:name w:val="Основной текст + Garamond,7,5 pt,Курсив"/>
    <w:basedOn w:val="CharStyle19"/>
    <w:rPr>
      <w:lang w:val="ru-RU" w:eastAsia="ru-RU" w:bidi="ru-RU"/>
      <w:i/>
      <w:iCs/>
      <w:sz w:val="15"/>
      <w:szCs w:val="15"/>
      <w:rFonts w:ascii="Garamond" w:eastAsia="Garamond" w:hAnsi="Garamond" w:cs="Garamond"/>
      <w:w w:val="100"/>
      <w:spacing w:val="0"/>
      <w:color w:val="000000"/>
      <w:position w:val="0"/>
    </w:rPr>
  </w:style>
  <w:style w:type="character" w:customStyle="1" w:styleId="CharStyle33">
    <w:name w:val="Подпись к таблице_"/>
    <w:basedOn w:val="DefaultParagraphFont"/>
    <w:link w:val="Style32"/>
    <w:rPr>
      <w:b w:val="0"/>
      <w:bCs w:val="0"/>
      <w:i w:val="0"/>
      <w:iCs w:val="0"/>
      <w:u w:val="none"/>
      <w:strike w:val="0"/>
      <w:smallCaps w:val="0"/>
      <w:sz w:val="21"/>
      <w:szCs w:val="21"/>
      <w:rFonts w:ascii="Times New Roman" w:eastAsia="Times New Roman" w:hAnsi="Times New Roman" w:cs="Times New Roman"/>
    </w:rPr>
  </w:style>
  <w:style w:type="character" w:customStyle="1" w:styleId="CharStyle34">
    <w:name w:val="Подпись к таблице"/>
    <w:basedOn w:val="CharStyle33"/>
    <w:rPr>
      <w:lang w:val="ru-RU" w:eastAsia="ru-RU" w:bidi="ru-RU"/>
      <w:u w:val="single"/>
      <w:w w:val="100"/>
      <w:spacing w:val="0"/>
      <w:color w:val="000000"/>
      <w:position w:val="0"/>
    </w:rPr>
  </w:style>
  <w:style w:type="character" w:customStyle="1" w:styleId="CharStyle35">
    <w:name w:val="Основной текст + Lucida Sans Unicode,Интервал -1 pt"/>
    <w:basedOn w:val="CharStyle19"/>
    <w:rPr>
      <w:lang w:val="ru-RU" w:eastAsia="ru-RU" w:bidi="ru-RU"/>
      <w:rFonts w:ascii="Lucida Sans Unicode" w:eastAsia="Lucida Sans Unicode" w:hAnsi="Lucida Sans Unicode" w:cs="Lucida Sans Unicode"/>
      <w:w w:val="100"/>
      <w:spacing w:val="-20"/>
      <w:color w:val="000000"/>
      <w:position w:val="0"/>
    </w:rPr>
  </w:style>
  <w:style w:type="character" w:customStyle="1" w:styleId="CharStyle36">
    <w:name w:val="Основной текст + Lucida Sans Unicode,10 pt"/>
    <w:basedOn w:val="CharStyle19"/>
    <w:rPr>
      <w:lang w:val="ru-RU" w:eastAsia="ru-RU" w:bidi="ru-RU"/>
      <w:sz w:val="20"/>
      <w:szCs w:val="20"/>
      <w:rFonts w:ascii="Lucida Sans Unicode" w:eastAsia="Lucida Sans Unicode" w:hAnsi="Lucida Sans Unicode" w:cs="Lucida Sans Unicode"/>
      <w:w w:val="100"/>
      <w:spacing w:val="0"/>
      <w:color w:val="000000"/>
      <w:position w:val="0"/>
    </w:rPr>
  </w:style>
  <w:style w:type="character" w:customStyle="1" w:styleId="CharStyle37">
    <w:name w:val="Основной текст + Tahoma,6,5 pt"/>
    <w:basedOn w:val="CharStyle19"/>
    <w:rPr>
      <w:lang w:val="ru-RU" w:eastAsia="ru-RU" w:bidi="ru-RU"/>
      <w:sz w:val="13"/>
      <w:szCs w:val="13"/>
      <w:rFonts w:ascii="Tahoma" w:eastAsia="Tahoma" w:hAnsi="Tahoma" w:cs="Tahoma"/>
      <w:w w:val="100"/>
      <w:spacing w:val="0"/>
      <w:color w:val="000000"/>
      <w:position w:val="0"/>
    </w:rPr>
  </w:style>
  <w:style w:type="character" w:customStyle="1" w:styleId="CharStyle38">
    <w:name w:val="Основной текст"/>
    <w:basedOn w:val="CharStyle19"/>
    <w:rPr>
      <w:lang w:val="ru-RU" w:eastAsia="ru-RU" w:bidi="ru-RU"/>
      <w:w w:val="100"/>
      <w:spacing w:val="0"/>
      <w:color w:val="000000"/>
      <w:position w:val="0"/>
    </w:rPr>
  </w:style>
  <w:style w:type="character" w:customStyle="1" w:styleId="CharStyle39">
    <w:name w:val="Основной текст + Курсив"/>
    <w:basedOn w:val="CharStyle19"/>
    <w:rPr>
      <w:lang w:val="ru-RU" w:eastAsia="ru-RU" w:bidi="ru-RU"/>
      <w:i/>
      <w:iCs/>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20" w:line="269" w:lineRule="exact"/>
    </w:pPr>
    <w:rPr>
      <w:b w:val="0"/>
      <w:bCs w:val="0"/>
      <w:i w:val="0"/>
      <w:iCs w:val="0"/>
      <w:u w:val="none"/>
      <w:strike w:val="0"/>
      <w:smallCaps w:val="0"/>
      <w:sz w:val="18"/>
      <w:szCs w:val="18"/>
      <w:rFonts w:ascii="Times New Roman" w:eastAsia="Times New Roman" w:hAnsi="Times New Roman" w:cs="Times New Roman"/>
      <w:spacing w:val="14"/>
    </w:rPr>
  </w:style>
  <w:style w:type="paragraph" w:customStyle="1" w:styleId="Style6">
    <w:name w:val="Основной текст (2)"/>
    <w:basedOn w:val="Normal"/>
    <w:link w:val="CharStyle20"/>
    <w:pPr>
      <w:widowControl w:val="0"/>
      <w:shd w:val="clear" w:color="auto" w:fill="FFFFFF"/>
      <w:spacing w:line="269"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20" w:line="211" w:lineRule="exact"/>
    </w:pPr>
    <w:rPr>
      <w:b w:val="0"/>
      <w:bCs w:val="0"/>
      <w:i w:val="0"/>
      <w:iCs w:val="0"/>
      <w:u w:val="none"/>
      <w:strike w:val="0"/>
      <w:smallCaps w:val="0"/>
      <w:sz w:val="16"/>
      <w:szCs w:val="16"/>
      <w:rFonts w:ascii="Times New Roman" w:eastAsia="Times New Roman" w:hAnsi="Times New Roman" w:cs="Times New Roman"/>
      <w:spacing w:val="5"/>
    </w:rPr>
  </w:style>
  <w:style w:type="paragraph" w:customStyle="1" w:styleId="Style12">
    <w:name w:val="Основной текст (5)"/>
    <w:basedOn w:val="Normal"/>
    <w:link w:val="CharStyle13"/>
    <w:pPr>
      <w:widowControl w:val="0"/>
      <w:shd w:val="clear" w:color="auto" w:fill="FFFFFF"/>
      <w:jc w:val="both"/>
      <w:spacing w:before="120" w:line="0" w:lineRule="exact"/>
    </w:pPr>
    <w:rPr>
      <w:b w:val="0"/>
      <w:bCs w:val="0"/>
      <w:i w:val="0"/>
      <w:iCs w:val="0"/>
      <w:u w:val="none"/>
      <w:strike w:val="0"/>
      <w:smallCaps w:val="0"/>
      <w:sz w:val="30"/>
      <w:szCs w:val="30"/>
      <w:rFonts w:ascii="Times New Roman" w:eastAsia="Times New Roman" w:hAnsi="Times New Roman" w:cs="Times New Roman"/>
      <w:spacing w:val="4"/>
    </w:rPr>
  </w:style>
  <w:style w:type="paragraph" w:customStyle="1" w:styleId="Style17">
    <w:name w:val="Основной текст"/>
    <w:basedOn w:val="Normal"/>
    <w:link w:val="CharStyle19"/>
    <w:pPr>
      <w:widowControl w:val="0"/>
      <w:shd w:val="clear" w:color="auto" w:fill="FFFFFF"/>
      <w:jc w:val="both"/>
      <w:spacing w:line="278"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jc w:val="both"/>
      <w:outlineLvl w:val="0"/>
      <w:spacing w:before="240" w:line="0" w:lineRule="exact"/>
    </w:pPr>
    <w:rPr>
      <w:b w:val="0"/>
      <w:bCs w:val="0"/>
      <w:i w:val="0"/>
      <w:iCs w:val="0"/>
      <w:u w:val="none"/>
      <w:strike w:val="0"/>
      <w:smallCaps w:val="0"/>
      <w:sz w:val="26"/>
      <w:szCs w:val="26"/>
      <w:rFonts w:ascii="Times New Roman" w:eastAsia="Times New Roman" w:hAnsi="Times New Roman" w:cs="Times New Roman"/>
      <w:spacing w:val="40"/>
    </w:rPr>
  </w:style>
  <w:style w:type="paragraph" w:customStyle="1" w:styleId="Style25">
    <w:name w:val="Основной текст (6)"/>
    <w:basedOn w:val="Normal"/>
    <w:link w:val="CharStyle26"/>
    <w:pPr>
      <w:widowControl w:val="0"/>
      <w:shd w:val="clear" w:color="auto" w:fill="FFFFFF"/>
      <w:jc w:val="both"/>
      <w:spacing w:line="274" w:lineRule="exact"/>
      <w:ind w:firstLine="560"/>
    </w:pPr>
    <w:rPr>
      <w:b w:val="0"/>
      <w:bCs w:val="0"/>
      <w:i/>
      <w:iCs/>
      <w:u w:val="none"/>
      <w:strike w:val="0"/>
      <w:smallCaps w:val="0"/>
      <w:sz w:val="21"/>
      <w:szCs w:val="21"/>
      <w:rFonts w:ascii="Times New Roman" w:eastAsia="Times New Roman" w:hAnsi="Times New Roman" w:cs="Times New Roman"/>
    </w:rPr>
  </w:style>
  <w:style w:type="paragraph" w:customStyle="1" w:styleId="Style28">
    <w:name w:val="Подпись к таблице (2)"/>
    <w:basedOn w:val="Normal"/>
    <w:link w:val="CharStyle29"/>
    <w:pPr>
      <w:widowControl w:val="0"/>
      <w:shd w:val="clear" w:color="auto" w:fill="FFFFFF"/>
      <w:spacing w:line="0" w:lineRule="exact"/>
    </w:pPr>
    <w:rPr>
      <w:b w:val="0"/>
      <w:bCs w:val="0"/>
      <w:i w:val="0"/>
      <w:iCs w:val="0"/>
      <w:u w:val="none"/>
      <w:strike w:val="0"/>
      <w:smallCaps w:val="0"/>
      <w:sz w:val="12"/>
      <w:szCs w:val="12"/>
      <w:rFonts w:ascii="Tahoma" w:eastAsia="Tahoma" w:hAnsi="Tahoma" w:cs="Tahoma"/>
      <w:w w:val="150"/>
    </w:rPr>
  </w:style>
  <w:style w:type="paragraph" w:customStyle="1" w:styleId="Style32">
    <w:name w:val="Подпись к таблице"/>
    <w:basedOn w:val="Normal"/>
    <w:link w:val="CharStyle33"/>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