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Республике Саха (Якутия)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0" w:line="27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МОНОПУОЛУЙАНЫ УТАРЫ ФЕДЕРАЛЬНАЙ СУЛУУСПА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Монопуолуйаны утары Федеральнай сулууспа Саха </w:t>
      </w:r>
      <w:r>
        <w:rPr>
          <w:rStyle w:val="CharStyle7"/>
          <w:b/>
          <w:bCs/>
        </w:rPr>
        <w:t>вреспуубулукэтинээ*)И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99" w:left="1678" w:right="1242" w:bottom="299" w:header="0" w:footer="3" w:gutter="0"/>
          <w:rtlGutter w:val="0"/>
          <w:cols w:num="2" w:space="1717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САЛАЛТАТА</w:t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Октябрьская, д. 22, каб. 213, г. Якутск, 677000 тел. (4112) 42-80-35, факс (4112) 42-80-46 </w:t>
      </w:r>
      <w:r>
        <w:rPr>
          <w:rStyle w:val="CharStyle10"/>
        </w:rPr>
        <w:t xml:space="preserve">e-mail: to </w:t>
      </w:r>
      <w:r>
        <w:rPr>
          <w:rStyle w:val="CharStyle10"/>
          <w:lang w:val="ru-RU" w:eastAsia="ru-RU" w:bidi="ru-RU"/>
        </w:rPr>
        <w:t>14@,</w:t>
      </w:r>
      <w:r>
        <w:rPr>
          <w:rStyle w:val="CharStyle10"/>
        </w:rPr>
        <w:t xml:space="preserve">fas.gov.ru </w:t>
      </w:r>
      <w:r>
        <w:fldChar w:fldCharType="begin"/>
      </w:r>
      <w:r>
        <w:rPr>
          <w:rStyle w:val="CharStyle10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299" w:left="1653" w:right="1163" w:bottom="299" w:header="0" w:footer="3" w:gutter="0"/>
          <w:rtlGutter w:val="0"/>
          <w:cols w:num="2" w:space="1628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Октябрьскай уул., 22, Дьокуускай к., 677000 тел. (4112) 42-80-35, факс (4112) 42-80-46 </w:t>
      </w:r>
      <w:r>
        <w:rPr>
          <w:rStyle w:val="CharStyle1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"mailto:tol4@fas.gov.ru" </w:instrText>
      </w:r>
      <w:r>
        <w:fldChar w:fldCharType="separate"/>
      </w:r>
      <w:r>
        <w:rPr>
          <w:rStyle w:val="Hyperlink"/>
        </w:rPr>
        <w:t>tol4@fas.gov.ru</w:t>
      </w:r>
      <w:r>
        <w:fldChar w:fldCharType="end"/>
      </w:r>
      <w:r>
        <w:rPr>
          <w:rStyle w:val="CharStyle10"/>
        </w:rPr>
        <w:t xml:space="preserve"> </w:t>
      </w:r>
      <w:r>
        <w:fldChar w:fldCharType="begin"/>
      </w:r>
      <w:r>
        <w:rPr>
          <w:rStyle w:val="CharStyle10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http://sakha.fas.gov.ru</w:t>
      </w:r>
      <w:r>
        <w:fldChar w:fldCharType="end"/>
      </w: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160" w:wrap="around" w:hAnchor="margin" w:x="-1583" w:y="416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12"/>
          <w:spacing w:val="0"/>
        </w:rPr>
        <w:t>на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  <w:sectPr>
          <w:type w:val="continuous"/>
          <w:pgSz w:w="11906" w:h="16838"/>
          <w:pgMar w:top="299" w:left="3276" w:right="8302" w:bottom="2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299" w:left="1343" w:right="10066" w:bottom="2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г~</w:t>
      </w:r>
    </w:p>
    <w:p>
      <w:pPr>
        <w:widowControl w:val="0"/>
        <w:spacing w:line="42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5" w:line="200" w:lineRule="exact"/>
        <w:ind w:left="0" w:right="0" w:firstLine="0"/>
      </w:pPr>
      <w:r>
        <w:rPr>
          <w:rStyle w:val="CharStyle18"/>
        </w:rPr>
        <w:t>Заявителю: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1906" w:h="16838"/>
          <w:pgMar w:top="299" w:left="6653" w:right="3251" w:bottom="2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ООО «АС-Строй»</w:t>
      </w: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21" w:line="18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 возврате жалобы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Управление Федеральной антимонопольной службы по Республике Саха (Якутия), рассмотрев жалобу ООО «АС-Строй» (далее </w:t>
      </w:r>
      <w:r>
        <w:rPr>
          <w:rStyle w:val="CharStyle21"/>
        </w:rPr>
        <w:t xml:space="preserve">— </w:t>
      </w:r>
      <w:r>
        <w:rPr>
          <w:lang w:val="ru-RU" w:eastAsia="ru-RU" w:bidi="ru-RU"/>
          <w:w w:val="100"/>
          <w:color w:val="000000"/>
          <w:position w:val="0"/>
        </w:rPr>
        <w:t xml:space="preserve">заявитель) на действия аукционной комиссии уполномоченного органа Государственного комитета Республики Саха (Якутия) по регулированию контрактной системы в сфере закупок, заказчика ГНУ РС(Я) «Нижнеколымская ЦРБ» при проведении электронного аукциона на выполнение работ по капитальному ремонту (извещение № </w:t>
      </w:r>
      <w:r>
        <w:rPr>
          <w:rStyle w:val="CharStyle22"/>
        </w:rPr>
        <w:t>0116200007917008161</w:t>
      </w:r>
      <w:r>
        <w:rPr>
          <w:rStyle w:val="CharStyle23"/>
        </w:rPr>
        <w:t xml:space="preserve">) </w:t>
      </w:r>
      <w:r>
        <w:rPr>
          <w:lang w:val="ru-RU" w:eastAsia="ru-RU" w:bidi="ru-RU"/>
          <w:w w:val="100"/>
          <w:color w:val="000000"/>
          <w:position w:val="0"/>
        </w:rPr>
        <w:t>(вх. № 10682 16 ч. 18 мин. от 10.11.2017 года) сообщает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Согласно пункту 1 части 8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</w:t>
      </w:r>
      <w:r>
        <w:rPr>
          <w:rStyle w:val="CharStyle24"/>
        </w:rPr>
        <w:t>жалоба на действия</w:t>
      </w:r>
      <w:r>
        <w:rPr>
          <w:lang w:val="ru-RU" w:eastAsia="ru-RU" w:bidi="ru-RU"/>
          <w:w w:val="100"/>
          <w:color w:val="000000"/>
          <w:position w:val="0"/>
        </w:rPr>
        <w:t xml:space="preserve"> (бе</w:t>
      </w:r>
      <w:r>
        <w:rPr>
          <w:rStyle w:val="CharStyle24"/>
        </w:rPr>
        <w:t>здействие)</w:t>
      </w:r>
      <w:r>
        <w:rPr>
          <w:lang w:val="ru-RU" w:eastAsia="ru-RU" w:bidi="ru-RU"/>
          <w:w w:val="100"/>
          <w:color w:val="000000"/>
          <w:position w:val="0"/>
        </w:rPr>
        <w:t xml:space="preserve"> заказчика, уполномоченного органа, уполномоченного учреждения, специализированной организации, </w:t>
      </w:r>
      <w:r>
        <w:rPr>
          <w:rStyle w:val="CharStyle24"/>
        </w:rPr>
        <w:t>комиссии но осуществлению закупок, ее членов</w:t>
      </w:r>
      <w:r>
        <w:rPr>
          <w:lang w:val="ru-RU" w:eastAsia="ru-RU" w:bidi="ru-RU"/>
          <w:w w:val="100"/>
          <w:color w:val="000000"/>
          <w:position w:val="0"/>
        </w:rPr>
        <w:t xml:space="preserve">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24"/>
        </w:rPr>
        <w:t>должна содержать наименование, фирменное наименование (при наличии), место нахождения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24"/>
        </w:rPr>
        <w:t>(для юридического лица), фамилию, имя, отчество</w:t>
      </w:r>
      <w:r>
        <w:rPr>
          <w:lang w:val="ru-RU" w:eastAsia="ru-RU" w:bidi="ru-RU"/>
          <w:w w:val="100"/>
          <w:color w:val="000000"/>
          <w:position w:val="0"/>
        </w:rPr>
        <w:t xml:space="preserve"> (п</w:t>
      </w:r>
      <w:r>
        <w:rPr>
          <w:rStyle w:val="CharStyle24"/>
        </w:rPr>
        <w:t>ри наличии), мес</w:t>
      </w:r>
      <w:r>
        <w:rPr>
          <w:lang w:val="ru-RU" w:eastAsia="ru-RU" w:bidi="ru-RU"/>
          <w:w w:val="100"/>
          <w:color w:val="000000"/>
          <w:position w:val="0"/>
        </w:rPr>
        <w:t xml:space="preserve">то </w:t>
      </w:r>
      <w:r>
        <w:rPr>
          <w:rStyle w:val="CharStyle24"/>
        </w:rPr>
        <w:t>жительства (для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24"/>
        </w:rPr>
        <w:t>физического лица</w:t>
      </w:r>
      <w:r>
        <w:rPr>
          <w:lang w:val="ru-RU" w:eastAsia="ru-RU" w:bidi="ru-RU"/>
          <w:w w:val="100"/>
          <w:color w:val="000000"/>
          <w:position w:val="0"/>
        </w:rPr>
        <w:t>)</w:t>
      </w:r>
      <w:r>
        <w:rPr>
          <w:rStyle w:val="CharStyle24"/>
        </w:rPr>
        <w:t>, почтовый а</w:t>
      </w:r>
      <w:r>
        <w:rPr>
          <w:lang w:val="ru-RU" w:eastAsia="ru-RU" w:bidi="ru-RU"/>
          <w:w w:val="100"/>
          <w:color w:val="000000"/>
          <w:position w:val="0"/>
        </w:rPr>
        <w:t>д</w:t>
      </w:r>
      <w:r>
        <w:rPr>
          <w:rStyle w:val="CharStyle24"/>
        </w:rPr>
        <w:t>рес, номер контактного телеф</w:t>
      </w:r>
      <w:r>
        <w:rPr>
          <w:lang w:val="ru-RU" w:eastAsia="ru-RU" w:bidi="ru-RU"/>
          <w:w w:val="100"/>
          <w:color w:val="000000"/>
          <w:position w:val="0"/>
        </w:rPr>
        <w:t>о</w:t>
      </w:r>
      <w:r>
        <w:rPr>
          <w:rStyle w:val="CharStyle24"/>
        </w:rPr>
        <w:t>на лица, д</w:t>
      </w:r>
      <w:r>
        <w:rPr>
          <w:lang w:val="ru-RU" w:eastAsia="ru-RU" w:bidi="ru-RU"/>
          <w:w w:val="100"/>
          <w:color w:val="000000"/>
          <w:position w:val="0"/>
        </w:rPr>
        <w:t>ей</w:t>
      </w:r>
      <w:r>
        <w:rPr>
          <w:rStyle w:val="CharStyle24"/>
        </w:rPr>
        <w:t>ствия (бездействие</w:t>
      </w:r>
      <w:r>
        <w:rPr>
          <w:lang w:val="ru-RU" w:eastAsia="ru-RU" w:bidi="ru-RU"/>
          <w:w w:val="100"/>
          <w:color w:val="000000"/>
          <w:position w:val="0"/>
        </w:rPr>
        <w:t xml:space="preserve">) </w:t>
      </w:r>
      <w:r>
        <w:rPr>
          <w:rStyle w:val="CharStyle24"/>
        </w:rPr>
        <w:t>которого обжалуются (при наличии такой информации).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color w:val="000000"/>
          <w:position w:val="0"/>
        </w:rPr>
        <w:t>Материалами дела установлено, что жалоба заявителя не содержит сведения, перечисленные в пункте 1 части 8 статьи 105 Закона о кон трактной сис теме в отношении членов аукционной (единой) комиссии уполномоченного органа.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color w:val="000000"/>
          <w:position w:val="0"/>
        </w:rPr>
        <w:t>В соответствии с пунктом 1 части 11 статьи 105 Закона о контрактной системе жалоба возвращается подавшему се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  <w:sectPr>
          <w:type w:val="continuous"/>
          <w:pgSz w:w="11906" w:h="16838"/>
          <w:pgMar w:top="299" w:left="990" w:right="986" w:bottom="2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Па основании вышеизложенного, руководствуясь пунктом 1 части 11 статьи 105 Закона о контрактной системе Управление Федеральной антимонопольной службы но Республике Саха (Якутия) возвращает жалобу заявителя в связи с тем, что она подана с нарушением требований, предусмотренных Законом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w="1604" w:h="960" w:wrap="around" w:vAnchor="text" w:hAnchor="margin" w:x="7865" w:y="12"/>
        <w:widowControl w:val="0"/>
        <w:keepNext w:val="0"/>
        <w:keepLines w:val="0"/>
        <w:shd w:val="clear" w:color="auto" w:fill="auto"/>
        <w:bidi w:val="0"/>
        <w:jc w:val="left"/>
        <w:spacing w:before="0" w:after="505" w:line="190" w:lineRule="exact"/>
        <w:ind w:left="100" w:right="0" w:firstLine="0"/>
      </w:pPr>
      <w:r>
        <w:rPr>
          <w:rStyle w:val="CharStyle25"/>
          <w:spacing w:val="10"/>
        </w:rPr>
        <w:t>Ю.А. Игнатьев</w:t>
      </w:r>
    </w:p>
    <w:p>
      <w:pPr>
        <w:pStyle w:val="Style26"/>
        <w:framePr w:w="1604" w:h="960" w:wrap="around" w:vAnchor="text" w:hAnchor="margin" w:x="7865" w:y="12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2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04143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637" w:line="200" w:lineRule="exact"/>
        <w:ind w:left="280" w:right="0" w:firstLine="0"/>
      </w:pPr>
      <w:r>
        <w:rPr>
          <w:lang w:val="ru-RU" w:eastAsia="ru-RU" w:bidi="ru-RU"/>
          <w:w w:val="100"/>
          <w:color w:val="000000"/>
          <w:position w:val="0"/>
        </w:rPr>
        <w:t>Руководитель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4" w:lineRule="exact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Платонова Э.Ю. 8(4112) 500567 лоб. 122</w:t>
      </w:r>
    </w:p>
    <w:sectPr>
      <w:type w:val="continuous"/>
      <w:pgSz w:w="11906" w:h="16838"/>
      <w:pgMar w:top="299" w:left="1440" w:right="8208" w:bottom="29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11,5 pt"/>
    <w:basedOn w:val="CharStyle6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4)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character" w:customStyle="1" w:styleId="CharStyle13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7)_"/>
    <w:basedOn w:val="DefaultParagraphFont"/>
    <w:link w:val="Style19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+ Courier New,9,5 pt,Полужирный,Интервал 0 pt"/>
    <w:basedOn w:val="CharStyle17"/>
    <w:rPr>
      <w:lang w:val="ru-RU" w:eastAsia="ru-RU" w:bidi="ru-RU"/>
      <w:b/>
      <w:bCs/>
      <w:sz w:val="19"/>
      <w:szCs w:val="19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23">
    <w:name w:val="Основной текст + 9 pt,Интервал 0 pt"/>
    <w:basedOn w:val="CharStyle1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4">
    <w:name w:val="Основной текст"/>
    <w:basedOn w:val="CharStyle17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1"/>
    </w:rPr>
  </w:style>
  <w:style w:type="character" w:customStyle="1" w:styleId="CharStyle27">
    <w:name w:val="Основной текст (8) Exact"/>
    <w:basedOn w:val="DefaultParagraphFont"/>
    <w:link w:val="Style2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5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jc w:val="both"/>
      <w:spacing w:after="300" w:line="0" w:lineRule="exact"/>
      <w:ind w:firstLine="700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jc w:val="right"/>
      <w:spacing w:before="54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5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