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47" w:after="66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12" w:line="270" w:lineRule="exact"/>
        <w:ind w:left="0" w:right="0" w:firstLine="12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Федеральной антимонопольной службы по Калининградской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ул.Барнаульская 4, г. Калининград, 236006, бокс № 5033 тел. (4012) 53-72-01, факс (4012) 53-72-00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"mailto:to39@fas.goy.ru"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to39@fas.goy.ru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0" w:line="420" w:lineRule="exact"/>
        <w:ind w:left="260" w:right="0" w:firstLine="0"/>
      </w:pPr>
      <w:bookmarkStart w:id="0" w:name="bookmark0"/>
      <w:r>
        <w:rPr>
          <w:rStyle w:val="CharStyle9"/>
          <w:i/>
          <w:iCs/>
        </w:rPr>
        <w:t>ОУ-Л М?</w:t>
      </w:r>
      <w:r>
        <w:rPr>
          <w:rStyle w:val="CharStyle10"/>
          <w:i w:val="0"/>
          <w:iCs w:val="0"/>
        </w:rPr>
        <w:t xml:space="preserve"> </w:t>
      </w:r>
      <w:r>
        <w:rPr>
          <w:rStyle w:val="CharStyle11"/>
          <w:i w:val="0"/>
          <w:iCs w:val="0"/>
        </w:rPr>
        <w:t xml:space="preserve">ж </w:t>
      </w:r>
      <w:r>
        <w:rPr>
          <w:rStyle w:val="CharStyle9"/>
          <w:i/>
          <w:iCs/>
        </w:rPr>
        <w:t>.&amp;#//&amp;</w:t>
      </w:r>
      <w:bookmarkEnd w:id="0"/>
    </w:p>
    <w:p>
      <w:pPr>
        <w:pStyle w:val="Style12"/>
        <w:tabs>
          <w:tab w:leader="none" w:pos="3386" w:val="center"/>
          <w:tab w:leader="none" w:pos="3712" w:val="center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!</w:t>
        <w:tab/>
        <w:t>'Т.</w:t>
        <w:tab/>
        <w:t>‘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1064" w:line="260" w:lineRule="exact"/>
        <w:ind w:left="0" w:right="120" w:firstLine="0"/>
      </w:pPr>
      <w:r>
        <w:rPr>
          <w:lang w:val="ru-RU" w:eastAsia="ru-RU" w:bidi="ru-RU"/>
          <w:w w:val="100"/>
          <w:color w:val="000000"/>
          <w:position w:val="0"/>
        </w:rPr>
        <w:t>тя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«Балтийское сияние»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648" w:line="32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Калининград, ул. Генерал- лейтенанта Озерова, 17 Б, *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оф. 10-08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459" w:line="260" w:lineRule="exact"/>
        <w:ind w:left="0" w:right="0" w:firstLine="0"/>
      </w:pPr>
      <w:r>
        <w:fldChar w:fldCharType="begin"/>
      </w:r>
      <w:r>
        <w:rPr>
          <w:rStyle w:val="CharStyle16"/>
        </w:rPr>
        <w:instrText> HYPERLINK "mailto:eprihodko@flot-snab.ru" </w:instrText>
      </w:r>
      <w:r>
        <w:fldChar w:fldCharType="separate"/>
      </w:r>
      <w:r>
        <w:rPr>
          <w:rStyle w:val="Hyperlink"/>
        </w:rPr>
        <w:t>eprihodko@flot-snab.ru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36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464" w:left="3336" w:right="3638" w:bottom="3439" w:header="0" w:footer="3" w:gutter="0"/>
          <w:rtlGutter w:val="0"/>
          <w:cols w:num="2" w:space="1382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ж</w:t>
      </w:r>
    </w:p>
    <w:p>
      <w:pPr>
        <w:pStyle w:val="Style17"/>
        <w:framePr w:w="651" w:h="523" w:wrap="none" w:vAnchor="text" w:hAnchor="margin" w:x="1677" w:y="8551"/>
        <w:widowControl w:val="0"/>
        <w:keepNext w:val="0"/>
        <w:keepLines w:val="0"/>
        <w:shd w:val="clear" w:color="auto" w:fill="auto"/>
        <w:bidi w:val="0"/>
        <w:jc w:val="left"/>
        <w:spacing w:before="0" w:after="0" w:line="400" w:lineRule="exact"/>
        <w:ind w:left="100" w:right="0" w:firstLine="0"/>
      </w:pPr>
      <w:r>
        <w:rPr>
          <w:w w:val="100"/>
          <w:spacing w:val="-10"/>
          <w:color w:val="000000"/>
          <w:position w:val="0"/>
        </w:rPr>
        <w:t>iff;</w:t>
      </w: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! </w:t>
      </w:r>
      <w:r>
        <w:rPr>
          <w:rStyle w:val="CharStyle19"/>
        </w:rPr>
        <w:t>1</w:t>
      </w:r>
    </w:p>
    <w:p>
      <w:pPr>
        <w:pStyle w:val="Style20"/>
        <w:framePr w:w="518" w:h="243" w:wrap="none" w:vAnchor="text" w:hAnchor="margin" w:x="5608" w:y="8573"/>
        <w:widowControl w:val="0"/>
        <w:keepNext w:val="0"/>
        <w:keepLines w:val="0"/>
        <w:shd w:val="clear" w:color="auto" w:fill="auto"/>
        <w:bidi w:val="0"/>
        <w:spacing w:before="0" w:after="0"/>
        <w:ind w:left="100" w:right="100" w:firstLine="0"/>
      </w:pPr>
      <w:r>
        <w:rPr>
          <w:rStyle w:val="CharStyle22"/>
          <w:spacing w:val="10"/>
        </w:rPr>
        <w:t xml:space="preserve">ШРр </w:t>
      </w:r>
      <w:r>
        <w:rPr>
          <w:rStyle w:val="CharStyle23"/>
          <w:spacing w:val="0"/>
        </w:rPr>
        <w:t>•Ц-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i-t:</w:t>
      </w:r>
    </w:p>
    <w:p>
      <w:pPr>
        <w:pStyle w:val="Style12"/>
        <w:framePr w:w="9594" w:h="8378" w:wrap="none" w:vAnchor="text" w:hAnchor="margin" w:x="241" w:y="3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120" w:right="120" w:firstLine="700"/>
      </w:pPr>
      <w:r>
        <w:rPr>
          <w:rStyle w:val="CharStyle24"/>
          <w:spacing w:val="0"/>
        </w:rPr>
        <w:t>31.10.2017 в Управление Федеральной антимонопольной службы по</w:t>
      </w:r>
    </w:p>
    <w:p>
      <w:pPr>
        <w:pStyle w:val="Style12"/>
        <w:framePr w:w="9594" w:h="8378" w:wrap="none" w:vAnchor="text" w:hAnchor="margin" w:x="241" w:y="3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120" w:right="281" w:firstLine="0"/>
      </w:pPr>
      <w:r>
        <w:rPr>
          <w:rStyle w:val="CharStyle24"/>
          <w:spacing w:val="0"/>
        </w:rPr>
        <w:t>Калининградской области поступила Ваша жалоба (вх. № 6513 от 31.10.2017)</w:t>
        <w:br/>
        <w:t>на действия аукционной комиссии заказчика ГБУЗКО «Светлогорская</w:t>
        <w:br/>
        <w:t>центральная районная поликлиника» (извещение № 0335300052117000046),</w:t>
        <w:br/>
        <w:t>поданная посредством электронной почты (в форме электронного документа)</w:t>
        <w:br/>
        <w:t>без использования электронной подписи.</w:t>
      </w:r>
    </w:p>
    <w:p>
      <w:pPr>
        <w:pStyle w:val="Style12"/>
        <w:framePr w:w="9594" w:h="8378" w:wrap="none" w:vAnchor="text" w:hAnchor="margin" w:x="241" w:y="3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120" w:right="281" w:firstLine="700"/>
      </w:pPr>
      <w:r>
        <w:rPr>
          <w:rStyle w:val="CharStyle24"/>
          <w:spacing w:val="0"/>
        </w:rPr>
        <w:t>В силу части 7|статьи 105 Федерального закона от 05.04.2013 № 44-ФЗ</w:t>
        <w:br/>
        <w:t>«О контрактной системе в сфере закупок товаров, работ, услуг для</w:t>
        <w:br/>
        <w:t>обеспечения государственных и муниципальных нужд» (далее - Закон о</w:t>
        <w:br/>
        <w:t>контрактной системе) участник закупки, общественное объединение и</w:t>
        <w:br/>
        <w:t>объединение юридических лиц подают жалобу в письменной форме.</w:t>
      </w:r>
    </w:p>
    <w:p>
      <w:pPr>
        <w:pStyle w:val="Style12"/>
        <w:framePr w:w="9594" w:h="8378" w:wrap="none" w:vAnchor="text" w:hAnchor="margin" w:x="241" w:y="3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120" w:right="281" w:firstLine="700"/>
      </w:pPr>
      <w:r>
        <w:rPr>
          <w:rStyle w:val="CharStyle24"/>
          <w:spacing w:val="0"/>
        </w:rPr>
        <w:t>Согласно части 10 статьи 105 Закона о контрактной системе жалоба</w:t>
      </w:r>
    </w:p>
    <w:p>
      <w:pPr>
        <w:pStyle w:val="Style12"/>
        <w:framePr w:w="9594" w:h="8378" w:wrap="none" w:vAnchor="text" w:hAnchor="margin" w:x="241" w:y="3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120" w:right="439" w:firstLine="0"/>
      </w:pPr>
      <w:r>
        <w:rPr>
          <w:rStyle w:val="CharStyle24"/>
          <w:spacing w:val="0"/>
        </w:rPr>
        <w:t>подписывается подающим ее лицом или его представителем. К жалобе</w:t>
      </w:r>
    </w:p>
    <w:p>
      <w:pPr>
        <w:pStyle w:val="Style12"/>
        <w:framePr w:w="9594" w:h="8378" w:wrap="none" w:vAnchor="text" w:hAnchor="margin" w:x="241" w:y="3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120" w:right="324" w:firstLine="0"/>
      </w:pPr>
      <w:r>
        <w:rPr>
          <w:rStyle w:val="CharStyle24"/>
          <w:spacing w:val="0"/>
        </w:rPr>
        <w:t>поданной представителем, должны быть приложены доверенность или иной</w:t>
      </w:r>
    </w:p>
    <w:p>
      <w:pPr>
        <w:pStyle w:val="Style12"/>
        <w:framePr w:w="9594" w:h="8378" w:wrap="none" w:vAnchor="text" w:hAnchor="margin" w:x="241" w:y="3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120" w:right="374" w:firstLine="0"/>
      </w:pPr>
      <w:r>
        <w:rPr>
          <w:rStyle w:val="CharStyle24"/>
          <w:spacing w:val="0"/>
        </w:rPr>
        <w:t>подтверждающий его полномочия на подписание жалобы документ.</w:t>
      </w:r>
    </w:p>
    <w:p>
      <w:pPr>
        <w:pStyle w:val="Style12"/>
        <w:framePr w:w="9594" w:h="8378" w:wrap="none" w:vAnchor="text" w:hAnchor="margin" w:x="241" w:y="3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120" w:right="374" w:firstLine="700"/>
      </w:pPr>
      <w:r>
        <w:rPr>
          <w:rStyle w:val="CharStyle24"/>
          <w:spacing w:val="0"/>
        </w:rPr>
        <w:t>В соответствии с частью 1 статьи 6 Федерального закона от 06.04.2011</w:t>
        <w:br/>
        <w:t>№ 63-ФЗ «Об электронной подписи» информация в электронной форме,</w:t>
        <w:br/>
        <w:t>подписанная квалифицированной электронной подписью, признается</w:t>
        <w:br/>
        <w:t>электронным документом, равнозначным документу на бумажном носителе,</w:t>
        <w:br/>
        <w:t>подписанному собственноручной подписью, кроме случая, если</w:t>
        <w:br/>
        <w:t>федеральными законами или принимаемыми;! в соответствии с ними</w:t>
        <w:br/>
        <w:t>нормативными!правовыми актами установлено требование о необходимости</w:t>
        <w:br/>
        <w:t>составления документа исключительно на бумажном носителе.</w:t>
      </w:r>
    </w:p>
    <w:p>
      <w:pPr>
        <w:pStyle w:val="Style12"/>
        <w:framePr w:w="9594" w:h="8378" w:wrap="none" w:vAnchor="text" w:hAnchor="margin" w:x="241" w:y="3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120" w:right="288" w:firstLine="700"/>
      </w:pPr>
      <w:r>
        <w:rPr>
          <w:rStyle w:val="CharStyle24"/>
          <w:spacing w:val="0"/>
        </w:rPr>
        <w:t>Таким образом, жалоба, подаваемая посредством факса или в форме</w:t>
        <w:br/>
        <w:t>электронного документа без использования электронной подписи, не</w:t>
      </w:r>
    </w:p>
    <w:p>
      <w:pPr>
        <w:pStyle w:val="Style12"/>
        <w:framePr w:w="9594" w:h="8378" w:wrap="none" w:vAnchor="text" w:hAnchor="margin" w:x="241" w:y="3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120" w:right="2844" w:firstLine="0"/>
      </w:pPr>
      <w:r>
        <w:rPr>
          <w:rStyle w:val="CharStyle24"/>
          <w:spacing w:val="0"/>
        </w:rPr>
        <w:t>соответствует требования Закона о контрактной системе.</w:t>
      </w:r>
    </w:p>
    <w:p>
      <w:pPr>
        <w:pStyle w:val="Style25"/>
        <w:framePr w:w="1008" w:h="228" w:wrap="none" w:vAnchor="text" w:hAnchor="margin" w:x="3211" w:y="8514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 xml:space="preserve">: ;у.г. </w:t>
      </w:r>
      <w:r>
        <w:rPr>
          <w:rStyle w:val="CharStyle27"/>
          <w:spacing w:val="10"/>
        </w:rPr>
        <w:t>Щ</w:t>
      </w:r>
      <w:r>
        <w:rPr>
          <w:rStyle w:val="CharStyle28"/>
        </w:rPr>
        <w:t>.</w:t>
      </w:r>
    </w:p>
    <w:p>
      <w:pPr>
        <w:pStyle w:val="Style12"/>
        <w:framePr w:w="792" w:h="292" w:wrap="none" w:vAnchor="text" w:hAnchor="margin" w:x="7923" w:y="8756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00" w:firstLine="0"/>
      </w:pPr>
      <w:r>
        <w:rPr>
          <w:rStyle w:val="CharStyle29"/>
        </w:rPr>
        <w:t>Щ</w:t>
      </w:r>
      <w:r>
        <w:rPr>
          <w:rStyle w:val="CharStyle30"/>
          <w:lang w:val="ru-RU" w:eastAsia="ru-RU" w:bidi="ru-RU"/>
          <w:spacing w:val="0"/>
        </w:rPr>
        <w:t xml:space="preserve"> </w:t>
      </w:r>
      <w:r>
        <w:rPr>
          <w:rStyle w:val="CharStyle31"/>
          <w:spacing w:val="0"/>
        </w:rPr>
        <w:t xml:space="preserve">2 </w:t>
      </w:r>
      <w:r>
        <w:rPr>
          <w:rStyle w:val="CharStyle30"/>
          <w:spacing w:val="0"/>
        </w:rPr>
        <w:t>ft</w:t>
      </w:r>
    </w:p>
    <w:p>
      <w:pPr>
        <w:pStyle w:val="Style32"/>
        <w:framePr w:w="792" w:h="292" w:wrap="none" w:vAnchor="text" w:hAnchor="margin" w:x="7923" w:y="8756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0" w:right="100" w:firstLine="0"/>
      </w:pPr>
      <w:r>
        <w:rPr>
          <w:rStyle w:val="CharStyle34"/>
          <w:i/>
          <w:iCs/>
          <w:spacing w:val="10"/>
        </w:rPr>
        <w:t xml:space="preserve">&amp; </w:t>
      </w:r>
      <w:r>
        <w:rPr>
          <w:rStyle w:val="CharStyle35"/>
          <w:i/>
          <w:iCs/>
          <w:spacing w:val="10"/>
        </w:rPr>
        <w:t>г*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94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424" w:left="3282" w:right="3282" w:bottom="3424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тем, что жалоба ООО «Балтийское сияние» не подписана надлежащим образом, Калининградское Управление антимонопольной службы России на основании пункта 2 части 11 Закона о контрактной принимает решение о возвращении жал рассмотрения.</w:t>
      </w:r>
    </w:p>
    <w:sectPr>
      <w:pgSz w:w="16838" w:h="23810"/>
      <w:pgMar w:top="5127" w:left="3441" w:right="3769" w:bottom="1647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10"/>
    </w:rPr>
  </w:style>
  <w:style w:type="character" w:customStyle="1" w:styleId="CharStyle9">
    <w:name w:val="Заголовок №1"/>
    <w:basedOn w:val="CharStyle8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0">
    <w:name w:val="Заголовок №1 + Lucida Sans Unicode,17 pt,Не курсив"/>
    <w:basedOn w:val="CharStyle8"/>
    <w:rPr>
      <w:lang w:val="ru-RU" w:eastAsia="ru-RU" w:bidi="ru-RU"/>
      <w:i/>
      <w:iCs/>
      <w:sz w:val="34"/>
      <w:szCs w:val="34"/>
      <w:rFonts w:ascii="Lucida Sans Unicode" w:eastAsia="Lucida Sans Unicode" w:hAnsi="Lucida Sans Unicode" w:cs="Lucida Sans Unicode"/>
      <w:w w:val="100"/>
      <w:color w:val="000000"/>
      <w:position w:val="0"/>
    </w:rPr>
  </w:style>
  <w:style w:type="character" w:customStyle="1" w:styleId="CharStyle11">
    <w:name w:val="Заголовок №1 + Lucida Sans Unicode,17 pt,Не курсив"/>
    <w:basedOn w:val="CharStyle8"/>
    <w:rPr>
      <w:lang w:val="ru-RU" w:eastAsia="ru-RU" w:bidi="ru-RU"/>
      <w:i/>
      <w:iCs/>
      <w:sz w:val="34"/>
      <w:szCs w:val="34"/>
      <w:rFonts w:ascii="Lucida Sans Unicode" w:eastAsia="Lucida Sans Unicode" w:hAnsi="Lucida Sans Unicode" w:cs="Lucida Sans Unicode"/>
      <w:w w:val="10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10"/>
    </w:rPr>
  </w:style>
  <w:style w:type="character" w:customStyle="1" w:styleId="CharStyle16">
    <w:name w:val="Основной текст"/>
    <w:basedOn w:val="CharStyle13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5) Exact"/>
    <w:basedOn w:val="DefaultParagraphFont"/>
    <w:link w:val="Style17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34"/>
      <w:szCs w:val="34"/>
      <w:rFonts w:ascii="Lucida Sans Unicode" w:eastAsia="Lucida Sans Unicode" w:hAnsi="Lucida Sans Unicode" w:cs="Lucida Sans Unicode"/>
      <w:spacing w:val="-9"/>
    </w:rPr>
  </w:style>
  <w:style w:type="character" w:customStyle="1" w:styleId="CharStyle19">
    <w:name w:val="Основной текст (5) + Times New Roman,20 pt,Интервал 0 pt Exact"/>
    <w:basedOn w:val="CharStyle18"/>
    <w:rPr>
      <w:lang w:val="ru-RU" w:eastAsia="ru-RU" w:bidi="ru-RU"/>
      <w:sz w:val="40"/>
      <w:szCs w:val="4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1">
    <w:name w:val="Основной текст (6) Exact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8"/>
      <w:szCs w:val="8"/>
      <w:rFonts w:ascii="Corbel" w:eastAsia="Corbel" w:hAnsi="Corbel" w:cs="Corbel"/>
      <w:spacing w:val="-3"/>
    </w:rPr>
  </w:style>
  <w:style w:type="character" w:customStyle="1" w:styleId="CharStyle22">
    <w:name w:val="Основной текст (6) + Times New Roman,7,5 pt,Курсив,Интервал 0 pt Exact"/>
    <w:basedOn w:val="CharStyle21"/>
    <w:rPr>
      <w:lang w:val="ru-RU" w:eastAsia="ru-RU" w:bidi="ru-RU"/>
      <w:i/>
      <w:iCs/>
      <w:sz w:val="15"/>
      <w:szCs w:val="15"/>
      <w:rFonts w:ascii="Times New Roman" w:eastAsia="Times New Roman" w:hAnsi="Times New Roman" w:cs="Times New Roman"/>
      <w:w w:val="100"/>
      <w:spacing w:val="12"/>
      <w:color w:val="000000"/>
      <w:position w:val="0"/>
    </w:rPr>
  </w:style>
  <w:style w:type="character" w:customStyle="1" w:styleId="CharStyle23">
    <w:name w:val="Основной текст (6) + Times New Roman,Курсив,Интервал 0 pt Exact"/>
    <w:basedOn w:val="CharStyle21"/>
    <w:rPr>
      <w:lang w:val="ru-RU" w:eastAsia="ru-RU" w:bidi="ru-RU"/>
      <w:i/>
      <w:iCs/>
      <w:rFonts w:ascii="Times New Roman" w:eastAsia="Times New Roman" w:hAnsi="Times New Roman" w:cs="Times New Roman"/>
      <w:w w:val="100"/>
      <w:spacing w:val="5"/>
      <w:color w:val="000000"/>
      <w:position w:val="0"/>
    </w:rPr>
  </w:style>
  <w:style w:type="character" w:customStyle="1" w:styleId="CharStyle2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character" w:customStyle="1" w:styleId="CharStyle26">
    <w:name w:val="Основной текст (7) Exact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11"/>
    </w:rPr>
  </w:style>
  <w:style w:type="character" w:customStyle="1" w:styleId="CharStyle27">
    <w:name w:val="Основной текст (7) + 7,5 pt,Курсив,Интервал 0 pt Exact"/>
    <w:basedOn w:val="CharStyle26"/>
    <w:rPr>
      <w:lang w:val="ru-RU" w:eastAsia="ru-RU" w:bidi="ru-RU"/>
      <w:i/>
      <w:iCs/>
      <w:sz w:val="15"/>
      <w:szCs w:val="15"/>
      <w:w w:val="100"/>
      <w:spacing w:val="12"/>
      <w:color w:val="000000"/>
      <w:position w:val="0"/>
    </w:rPr>
  </w:style>
  <w:style w:type="character" w:customStyle="1" w:styleId="CharStyle28">
    <w:name w:val="Основной текст (7) + Lucida Sans Unicode,Интервал 0 pt Exact"/>
    <w:basedOn w:val="CharStyle26"/>
    <w:rPr>
      <w:lang w:val="ru-RU" w:eastAsia="ru-RU" w:bidi="ru-RU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29">
    <w:name w:val="Основной текст + Курсив,Интервал 0 pt Exact"/>
    <w:basedOn w:val="CharStyle13"/>
    <w:rPr>
      <w:lang w:val="ru-RU" w:eastAsia="ru-RU" w:bidi="ru-RU"/>
      <w:i/>
      <w:iCs/>
      <w:sz w:val="24"/>
      <w:szCs w:val="24"/>
      <w:w w:val="100"/>
      <w:spacing w:val="-10"/>
      <w:color w:val="000000"/>
      <w:position w:val="0"/>
    </w:rPr>
  </w:style>
  <w:style w:type="character" w:customStyle="1" w:styleId="CharStyle30">
    <w:name w:val="Основной текст Exact"/>
    <w:basedOn w:val="CharStyle13"/>
    <w:rPr>
      <w:lang w:val="en-US" w:eastAsia="en-US" w:bidi="en-US"/>
      <w:sz w:val="24"/>
      <w:szCs w:val="24"/>
      <w:w w:val="100"/>
      <w:spacing w:val="4"/>
      <w:color w:val="000000"/>
      <w:position w:val="0"/>
    </w:rPr>
  </w:style>
  <w:style w:type="character" w:customStyle="1" w:styleId="CharStyle31">
    <w:name w:val="Основной текст Exact"/>
    <w:basedOn w:val="CharStyle13"/>
    <w:rPr>
      <w:lang w:val="ru-RU" w:eastAsia="ru-RU" w:bidi="ru-RU"/>
      <w:sz w:val="24"/>
      <w:szCs w:val="24"/>
      <w:w w:val="100"/>
      <w:spacing w:val="4"/>
      <w:color w:val="000000"/>
      <w:position w:val="0"/>
    </w:rPr>
  </w:style>
  <w:style w:type="character" w:customStyle="1" w:styleId="CharStyle33">
    <w:name w:val="Основной текст (8) Exact"/>
    <w:basedOn w:val="DefaultParagraphFont"/>
    <w:link w:val="Style32"/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2"/>
    </w:rPr>
  </w:style>
  <w:style w:type="character" w:customStyle="1" w:styleId="CharStyle34">
    <w:name w:val="Основной текст (8) Exact"/>
    <w:basedOn w:val="CharStyle33"/>
    <w:rPr>
      <w:lang w:val="ru-RU" w:eastAsia="ru-RU" w:bidi="ru-RU"/>
      <w:w w:val="100"/>
      <w:color w:val="000000"/>
      <w:position w:val="0"/>
    </w:rPr>
  </w:style>
  <w:style w:type="character" w:customStyle="1" w:styleId="CharStyle35">
    <w:name w:val="Основной текст (8) Exact"/>
    <w:basedOn w:val="CharStyle33"/>
    <w:rPr>
      <w:lang w:val="ru-RU" w:eastAsia="ru-RU" w:bidi="ru-RU"/>
      <w:w w:val="10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after="60"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180" w:line="205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before="180" w:line="0" w:lineRule="exact"/>
    </w:pPr>
    <w:rPr>
      <w:b w:val="0"/>
      <w:bCs w:val="0"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10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right"/>
      <w:spacing w:after="114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10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34"/>
      <w:szCs w:val="34"/>
      <w:rFonts w:ascii="Lucida Sans Unicode" w:eastAsia="Lucida Sans Unicode" w:hAnsi="Lucida Sans Unicode" w:cs="Lucida Sans Unicode"/>
      <w:spacing w:val="-9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jc w:val="both"/>
      <w:spacing w:line="101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Corbel" w:eastAsia="Corbel" w:hAnsi="Corbel" w:cs="Corbel"/>
      <w:spacing w:val="-3"/>
    </w:rPr>
  </w:style>
  <w:style w:type="paragraph" w:customStyle="1" w:styleId="Style25">
    <w:name w:val="Основной текст (7)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11"/>
    </w:rPr>
  </w:style>
  <w:style w:type="paragraph" w:customStyle="1" w:styleId="Style32">
    <w:name w:val="Основной текст (8)"/>
    <w:basedOn w:val="Normal"/>
    <w:link w:val="CharStyle33"/>
    <w:pPr>
      <w:widowControl w:val="0"/>
      <w:shd w:val="clear" w:color="auto" w:fill="FFFFFF"/>
      <w:jc w:val="right"/>
      <w:spacing w:line="0" w:lineRule="exact"/>
    </w:pPr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2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