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1050" w:left="2730" w:right="8096" w:bottom="872" w:header="0" w:footer="3" w:gutter="0"/>
          <w:rtlGutter w:val="0"/>
          <w:cols w:space="720"/>
          <w:noEndnote/>
          <w:docGrid w:linePitch="360"/>
        </w:sectPr>
      </w:pPr>
    </w:p>
    <w:p>
      <w:pPr>
        <w:widowControl w:val="0"/>
        <w:spacing w:line="109"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widowControl w:val="0"/>
        <w:keepNext w:val="0"/>
        <w:keepLines w:val="0"/>
        <w:shd w:val="clear" w:color="auto" w:fill="auto"/>
        <w:bidi w:val="0"/>
        <w:jc w:val="left"/>
        <w:spacing w:before="0" w:after="0"/>
        <w:ind w:left="40" w:right="2580" w:firstLine="0"/>
      </w:pPr>
      <w:r>
        <w:rPr>
          <w:lang w:val="ru-RU" w:eastAsia="ru-RU" w:bidi="ru-RU"/>
          <w:w w:val="100"/>
          <w:spacing w:val="0"/>
          <w:color w:val="000000"/>
          <w:position w:val="0"/>
        </w:rPr>
        <w:t>31.10.2017 №06/12406 На №4 от 26.10.2017</w:t>
      </w:r>
    </w:p>
    <w:p>
      <w:pPr>
        <w:pStyle w:val="Style9"/>
        <w:numPr>
          <w:ilvl w:val="0"/>
          <w:numId w:val="1"/>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Заявитель:</w:t>
      </w:r>
    </w:p>
    <w:p>
      <w:pPr>
        <w:pStyle w:val="Style9"/>
        <w:widowControl w:val="0"/>
        <w:keepNext w:val="0"/>
        <w:keepLines w:val="0"/>
        <w:shd w:val="clear" w:color="auto" w:fill="auto"/>
        <w:bidi w:val="0"/>
        <w:jc w:val="left"/>
        <w:spacing w:before="0" w:after="0"/>
        <w:ind w:left="20" w:right="1800" w:firstLine="0"/>
      </w:pPr>
      <w:r>
        <w:rPr>
          <w:lang w:val="ru-RU" w:eastAsia="ru-RU" w:bidi="ru-RU"/>
          <w:w w:val="100"/>
          <w:spacing w:val="0"/>
          <w:color w:val="000000"/>
          <w:position w:val="0"/>
        </w:rPr>
        <w:t>Общество с ограниченной ответственностью «РИО»</w:t>
      </w:r>
    </w:p>
    <w:p>
      <w:pPr>
        <w:pStyle w:val="Style9"/>
        <w:widowControl w:val="0"/>
        <w:keepNext w:val="0"/>
        <w:keepLines w:val="0"/>
        <w:shd w:val="clear" w:color="auto" w:fill="auto"/>
        <w:bidi w:val="0"/>
        <w:jc w:val="left"/>
        <w:spacing w:before="0" w:after="304"/>
        <w:ind w:left="20" w:right="360" w:firstLine="0"/>
      </w:pPr>
      <w:r>
        <w:rPr>
          <w:lang w:val="ru-RU" w:eastAsia="ru-RU" w:bidi="ru-RU"/>
          <w:w w:val="100"/>
          <w:spacing w:val="0"/>
          <w:color w:val="000000"/>
          <w:position w:val="0"/>
        </w:rPr>
        <w:t>606000, г. Дзержинск, Мира б-р, д. 29, оф. 55</w:t>
      </w:r>
    </w:p>
    <w:p>
      <w:pPr>
        <w:pStyle w:val="Style9"/>
        <w:numPr>
          <w:ilvl w:val="0"/>
          <w:numId w:val="1"/>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Заказчик:</w:t>
      </w:r>
    </w:p>
    <w:p>
      <w:pPr>
        <w:pStyle w:val="Style9"/>
        <w:widowControl w:val="0"/>
        <w:keepNext w:val="0"/>
        <w:keepLines w:val="0"/>
        <w:shd w:val="clear" w:color="auto" w:fill="auto"/>
        <w:bidi w:val="0"/>
        <w:jc w:val="left"/>
        <w:spacing w:before="0" w:after="0" w:line="317" w:lineRule="exact"/>
        <w:ind w:left="20" w:right="0" w:firstLine="0"/>
        <w:sectPr>
          <w:type w:val="continuous"/>
          <w:pgSz w:w="11906" w:h="16838"/>
          <w:pgMar w:top="1050" w:left="829" w:right="1064" w:bottom="872" w:header="0" w:footer="3" w:gutter="0"/>
          <w:rtlGutter w:val="0"/>
          <w:cols w:num="2" w:space="134"/>
          <w:noEndnote/>
          <w:docGrid w:linePitch="360"/>
        </w:sectPr>
      </w:pPr>
      <w:r>
        <w:rPr>
          <w:lang w:val="ru-RU" w:eastAsia="ru-RU" w:bidi="ru-RU"/>
          <w:w w:val="100"/>
          <w:spacing w:val="0"/>
          <w:color w:val="000000"/>
          <w:position w:val="0"/>
        </w:rPr>
        <w:t>Г осударственное унитарное предприятие Республики Крым "Черноморнефтегаз" 295034, Республика Крым, г. Симферополь, пр-кт Кирова, дом 52</w:t>
      </w:r>
    </w:p>
    <w:p>
      <w:pPr>
        <w:widowControl w:val="0"/>
        <w:spacing w:before="44" w:after="4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Решение о возвращении жалобы (дело №06/4149-17)</w:t>
      </w:r>
    </w:p>
    <w:p>
      <w:pPr>
        <w:pStyle w:val="Style9"/>
        <w:numPr>
          <w:ilvl w:val="0"/>
          <w:numId w:val="3"/>
        </w:numPr>
        <w:tabs>
          <w:tab w:leader="none" w:pos="8194" w:val="right"/>
          <w:tab w:leader="none" w:pos="9121" w:val="center"/>
          <w:tab w:leader="none" w:pos="8041" w:val="left"/>
        </w:tabs>
        <w:widowControl w:val="0"/>
        <w:keepNext w:val="0"/>
        <w:keepLines w:val="0"/>
        <w:shd w:val="clear" w:color="auto" w:fill="auto"/>
        <w:bidi w:val="0"/>
        <w:jc w:val="both"/>
        <w:spacing w:before="0" w:after="188" w:line="260" w:lineRule="exact"/>
        <w:ind w:left="260" w:right="0" w:firstLine="0"/>
      </w:pPr>
      <w:r>
        <w:rPr>
          <w:lang w:val="ru-RU" w:eastAsia="ru-RU" w:bidi="ru-RU"/>
          <w:w w:val="100"/>
          <w:spacing w:val="0"/>
          <w:color w:val="000000"/>
          <w:position w:val="0"/>
        </w:rPr>
        <w:t>г.</w:t>
        <w:tab/>
        <w:t>Симферополь</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члена Комиссии - специалиста - эксперта отдела контроля закупок Крымского УФАС России Д. В. Савченко, -</w:t>
      </w:r>
    </w:p>
    <w:p>
      <w:pPr>
        <w:pStyle w:val="Style9"/>
        <w:widowControl w:val="0"/>
        <w:keepNext w:val="0"/>
        <w:keepLines w:val="0"/>
        <w:shd w:val="clear" w:color="auto" w:fill="auto"/>
        <w:bidi w:val="0"/>
        <w:jc w:val="both"/>
        <w:spacing w:before="0" w:after="60"/>
        <w:ind w:left="20" w:right="20" w:firstLine="720"/>
      </w:pPr>
      <w:r>
        <w:rPr>
          <w:lang w:val="ru-RU" w:eastAsia="ru-RU" w:bidi="ru-RU"/>
          <w:w w:val="100"/>
          <w:spacing w:val="0"/>
          <w:color w:val="000000"/>
          <w:position w:val="0"/>
        </w:rPr>
        <w:t>рассмотрев жалобу общества с ограниченной ответственностью «РИО» (далее - Заявитель) от 26.10.2017 №4, направленную по подведомственности Федеральной антимонопольной службой поручением от 30.10.2017 № ГЗТУ/4051 (вх. №4747/09 от 31.10.2017), на действия Государственного унитарного предприятия Республики Крым "Черноморнефтегаз" (далее - Заказчик) при проведении электронного аукциона «Фильтры - поглотители, монтажные детали к фильтрам - поглотителям» (извещение № 0575200001017000144),</w:t>
      </w:r>
    </w:p>
    <w:p>
      <w:pPr>
        <w:pStyle w:val="Style9"/>
        <w:widowControl w:val="0"/>
        <w:keepNext w:val="0"/>
        <w:keepLines w:val="0"/>
        <w:shd w:val="clear" w:color="auto" w:fill="auto"/>
        <w:bidi w:val="0"/>
        <w:jc w:val="left"/>
        <w:spacing w:before="0" w:after="0"/>
        <w:ind w:left="4540" w:right="0" w:firstLine="0"/>
      </w:pPr>
      <w:r>
        <w:rPr>
          <w:lang w:val="ru-RU" w:eastAsia="ru-RU" w:bidi="ru-RU"/>
          <w:w w:val="100"/>
          <w:spacing w:val="0"/>
          <w:color w:val="000000"/>
          <w:position w:val="0"/>
        </w:rPr>
        <w:t>УСТАНОВИЛА:</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части 4 статьи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pPr>
        <w:pStyle w:val="Style9"/>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Комиссией установлено, что в соответствии с извещением о проведении Аукциона по закупке № 0575200001017000144, опубликованном Заказчиком</w:t>
      </w:r>
    </w:p>
    <w:p>
      <w:pPr>
        <w:pStyle w:val="Style9"/>
        <w:numPr>
          <w:ilvl w:val="0"/>
          <w:numId w:val="5"/>
        </w:numPr>
        <w:tabs>
          <w:tab w:leader="none" w:pos="1403" w:val="left"/>
        </w:tabs>
        <w:widowControl w:val="0"/>
        <w:keepNext w:val="0"/>
        <w:keepLines w:val="0"/>
        <w:shd w:val="clear" w:color="auto" w:fill="auto"/>
        <w:bidi w:val="0"/>
        <w:jc w:val="both"/>
        <w:spacing w:before="0" w:after="56"/>
        <w:ind w:left="20" w:right="0" w:firstLine="0"/>
      </w:pPr>
      <w:r>
        <w:rPr>
          <w:lang w:val="ru-RU" w:eastAsia="ru-RU" w:bidi="ru-RU"/>
          <w:w w:val="100"/>
          <w:spacing w:val="0"/>
          <w:color w:val="000000"/>
          <w:position w:val="0"/>
        </w:rPr>
        <w:t>8:43 на официальном сайте:</w:t>
      </w:r>
    </w:p>
    <w:tbl>
      <w:tblPr>
        <w:tblOverlap w:val="never"/>
        <w:tblLayout w:type="fixed"/>
        <w:jc w:val="center"/>
      </w:tblPr>
      <w:tblGrid>
        <w:gridCol w:w="6245"/>
        <w:gridCol w:w="2558"/>
      </w:tblGrid>
      <w:tr>
        <w:trPr>
          <w:trHeight w:val="418" w:hRule="exact"/>
        </w:trPr>
        <w:tc>
          <w:tcPr>
            <w:shd w:val="clear" w:color="auto" w:fill="FFFFFF"/>
            <w:tcBorders>
              <w:left w:val="single" w:sz="4"/>
              <w:top w:val="single" w:sz="4"/>
            </w:tcBorders>
            <w:vAlign w:val="top"/>
          </w:tcPr>
          <w:p>
            <w:pPr>
              <w:framePr w:w="8803"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60" w:right="0" w:firstLine="0"/>
            </w:pPr>
            <w:r>
              <w:rPr>
                <w:rStyle w:val="CharStyle14"/>
              </w:rPr>
              <w:t>Значение</w:t>
            </w:r>
          </w:p>
        </w:tc>
      </w:tr>
      <w:tr>
        <w:trPr>
          <w:trHeight w:val="326" w:hRule="exact"/>
        </w:trPr>
        <w:tc>
          <w:tcPr>
            <w:shd w:val="clear" w:color="auto" w:fill="FFFFFF"/>
            <w:tcBorders>
              <w:left w:val="single" w:sz="4"/>
            </w:tcBorders>
            <w:vAlign w:val="top"/>
          </w:tcPr>
          <w:p>
            <w:pPr>
              <w:framePr w:w="8803"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60" w:right="0" w:firstLine="0"/>
            </w:pPr>
            <w:r>
              <w:rPr>
                <w:rStyle w:val="CharStyle14"/>
              </w:rPr>
              <w:t>соответствует</w:t>
            </w:r>
          </w:p>
        </w:tc>
      </w:tr>
      <w:tr>
        <w:trPr>
          <w:trHeight w:val="341" w:hRule="exact"/>
        </w:trPr>
        <w:tc>
          <w:tcPr>
            <w:shd w:val="clear" w:color="auto" w:fill="FFFFFF"/>
            <w:tcBorders>
              <w:left w:val="single" w:sz="4"/>
            </w:tcBorders>
            <w:vAlign w:val="top"/>
          </w:tcPr>
          <w:p>
            <w:pPr>
              <w:framePr w:w="880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60" w:right="0" w:firstLine="0"/>
            </w:pPr>
            <w:r>
              <w:rPr>
                <w:rStyle w:val="CharStyle14"/>
              </w:rPr>
              <w:t>фактической дате и</w:t>
            </w:r>
          </w:p>
        </w:tc>
      </w:tr>
      <w:tr>
        <w:trPr>
          <w:trHeight w:val="326" w:hRule="exact"/>
        </w:trPr>
        <w:tc>
          <w:tcPr>
            <w:shd w:val="clear" w:color="auto" w:fill="FFFFFF"/>
            <w:tcBorders>
              <w:left w:val="single" w:sz="4"/>
            </w:tcBorders>
            <w:vAlign w:val="top"/>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80" w:right="0" w:firstLine="0"/>
            </w:pPr>
            <w:r>
              <w:rPr>
                <w:rStyle w:val="CharStyle14"/>
              </w:rPr>
              <w:t>Дата и время начала подачи заявок</w:t>
            </w:r>
          </w:p>
        </w:tc>
        <w:tc>
          <w:tcPr>
            <w:shd w:val="clear" w:color="auto" w:fill="FFFFFF"/>
            <w:tcBorders>
              <w:left w:val="single" w:sz="4"/>
              <w:right w:val="single" w:sz="4"/>
            </w:tcBorders>
            <w:vAlign w:val="top"/>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60" w:right="0" w:firstLine="0"/>
            </w:pPr>
            <w:r>
              <w:rPr>
                <w:rStyle w:val="CharStyle14"/>
              </w:rPr>
              <w:t>времени</w:t>
            </w:r>
          </w:p>
        </w:tc>
      </w:tr>
      <w:tr>
        <w:trPr>
          <w:trHeight w:val="326" w:hRule="exact"/>
        </w:trPr>
        <w:tc>
          <w:tcPr>
            <w:shd w:val="clear" w:color="auto" w:fill="FFFFFF"/>
            <w:tcBorders>
              <w:left w:val="single" w:sz="4"/>
            </w:tcBorders>
            <w:vAlign w:val="top"/>
          </w:tcPr>
          <w:p>
            <w:pPr>
              <w:framePr w:w="8803" w:wrap="notBeside" w:vAnchor="text" w:hAnchor="text" w:xAlign="center" w:y="1"/>
              <w:widowControl w:val="0"/>
              <w:rPr>
                <w:sz w:val="10"/>
                <w:szCs w:val="10"/>
              </w:rPr>
            </w:pPr>
          </w:p>
        </w:tc>
        <w:tc>
          <w:tcPr>
            <w:shd w:val="clear" w:color="auto" w:fill="FFFFFF"/>
            <w:tcBorders>
              <w:left w:val="single" w:sz="4"/>
              <w:right w:val="single" w:sz="4"/>
            </w:tcBorders>
            <w:vAlign w:val="bottom"/>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60" w:right="0" w:firstLine="0"/>
            </w:pPr>
            <w:r>
              <w:rPr>
                <w:rStyle w:val="CharStyle14"/>
              </w:rPr>
              <w:t>размещения</w:t>
            </w:r>
          </w:p>
        </w:tc>
      </w:tr>
      <w:tr>
        <w:trPr>
          <w:trHeight w:val="307" w:hRule="exact"/>
        </w:trPr>
        <w:tc>
          <w:tcPr>
            <w:shd w:val="clear" w:color="auto" w:fill="FFFFFF"/>
            <w:tcBorders>
              <w:left w:val="single" w:sz="4"/>
            </w:tcBorders>
            <w:vAlign w:val="top"/>
          </w:tcPr>
          <w:p>
            <w:pPr>
              <w:framePr w:w="8803" w:wrap="notBeside" w:vAnchor="text" w:hAnchor="text" w:xAlign="center" w:y="1"/>
              <w:widowControl w:val="0"/>
              <w:rPr>
                <w:sz w:val="10"/>
                <w:szCs w:val="10"/>
              </w:rPr>
            </w:pPr>
          </w:p>
        </w:tc>
        <w:tc>
          <w:tcPr>
            <w:shd w:val="clear" w:color="auto" w:fill="FFFFFF"/>
            <w:tcBorders>
              <w:left w:val="single" w:sz="4"/>
              <w:right w:val="single" w:sz="4"/>
            </w:tcBorders>
            <w:vAlign w:val="top"/>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60" w:right="0" w:firstLine="0"/>
            </w:pPr>
            <w:r>
              <w:rPr>
                <w:rStyle w:val="CharStyle14"/>
              </w:rPr>
              <w:t>извещения по</w:t>
            </w:r>
          </w:p>
        </w:tc>
      </w:tr>
      <w:tr>
        <w:trPr>
          <w:trHeight w:val="331" w:hRule="exact"/>
        </w:trPr>
        <w:tc>
          <w:tcPr>
            <w:shd w:val="clear" w:color="auto" w:fill="FFFFFF"/>
            <w:tcBorders>
              <w:left w:val="single" w:sz="4"/>
              <w:bottom w:val="single" w:sz="4"/>
            </w:tcBorders>
            <w:vAlign w:val="top"/>
          </w:tcPr>
          <w:p>
            <w:pPr>
              <w:framePr w:w="8803" w:wrap="notBeside" w:vAnchor="text" w:hAnchor="text" w:xAlign="center" w:y="1"/>
              <w:widowControl w:val="0"/>
              <w:rPr>
                <w:sz w:val="10"/>
                <w:szCs w:val="10"/>
              </w:rPr>
            </w:pPr>
          </w:p>
        </w:tc>
        <w:tc>
          <w:tcPr>
            <w:shd w:val="clear" w:color="auto" w:fill="FFFFFF"/>
            <w:tcBorders>
              <w:left w:val="single" w:sz="4"/>
              <w:right w:val="single" w:sz="4"/>
              <w:bottom w:val="single" w:sz="4"/>
            </w:tcBorders>
            <w:vAlign w:val="bottom"/>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60" w:right="0" w:firstLine="0"/>
            </w:pPr>
            <w:r>
              <w:rPr>
                <w:rStyle w:val="CharStyle14"/>
              </w:rPr>
              <w:t>местному времени</w:t>
            </w:r>
          </w:p>
        </w:tc>
      </w:tr>
    </w:tbl>
    <w:p>
      <w:pPr>
        <w:widowControl w:val="0"/>
        <w:rPr>
          <w:sz w:val="2"/>
          <w:szCs w:val="2"/>
        </w:rPr>
      </w:pPr>
      <w:r>
        <w:br w:type="page"/>
      </w:r>
    </w:p>
    <w:tbl>
      <w:tblPr>
        <w:tblOverlap w:val="never"/>
        <w:tblLayout w:type="fixed"/>
        <w:jc w:val="center"/>
      </w:tblPr>
      <w:tblGrid>
        <w:gridCol w:w="6245"/>
        <w:gridCol w:w="2558"/>
      </w:tblGrid>
      <w:tr>
        <w:trPr>
          <w:trHeight w:val="1075" w:hRule="exact"/>
        </w:trPr>
        <w:tc>
          <w:tcPr>
            <w:shd w:val="clear" w:color="auto" w:fill="FFFFFF"/>
            <w:tcBorders>
              <w:left w:val="single" w:sz="4"/>
              <w:top w:val="single" w:sz="4"/>
            </w:tcBorders>
            <w:vAlign w:val="top"/>
          </w:tcPr>
          <w:p>
            <w:pPr>
              <w:framePr w:w="8803"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9"/>
              <w:framePr w:w="8803" w:wrap="notBeside" w:vAnchor="text" w:hAnchor="text" w:xAlign="center" w:y="1"/>
              <w:widowControl w:val="0"/>
              <w:keepNext w:val="0"/>
              <w:keepLines w:val="0"/>
              <w:shd w:val="clear" w:color="auto" w:fill="auto"/>
              <w:bidi w:val="0"/>
              <w:jc w:val="left"/>
              <w:spacing w:before="0" w:after="0" w:line="326" w:lineRule="exact"/>
              <w:ind w:left="60" w:right="0" w:firstLine="0"/>
            </w:pPr>
            <w:r>
              <w:rPr>
                <w:rStyle w:val="CharStyle14"/>
              </w:rPr>
              <w:t>организации,</w:t>
            </w:r>
          </w:p>
          <w:p>
            <w:pPr>
              <w:pStyle w:val="Style9"/>
              <w:framePr w:w="8803" w:wrap="notBeside" w:vAnchor="text" w:hAnchor="text" w:xAlign="center" w:y="1"/>
              <w:widowControl w:val="0"/>
              <w:keepNext w:val="0"/>
              <w:keepLines w:val="0"/>
              <w:shd w:val="clear" w:color="auto" w:fill="auto"/>
              <w:bidi w:val="0"/>
              <w:jc w:val="left"/>
              <w:spacing w:before="0" w:after="0" w:line="326" w:lineRule="exact"/>
              <w:ind w:left="60" w:right="0" w:firstLine="0"/>
            </w:pPr>
            <w:r>
              <w:rPr>
                <w:rStyle w:val="CharStyle14"/>
              </w:rPr>
              <w:t>осуществляющей</w:t>
            </w:r>
          </w:p>
          <w:p>
            <w:pPr>
              <w:pStyle w:val="Style9"/>
              <w:framePr w:w="8803" w:wrap="notBeside" w:vAnchor="text" w:hAnchor="text" w:xAlign="center" w:y="1"/>
              <w:widowControl w:val="0"/>
              <w:keepNext w:val="0"/>
              <w:keepLines w:val="0"/>
              <w:shd w:val="clear" w:color="auto" w:fill="auto"/>
              <w:bidi w:val="0"/>
              <w:jc w:val="left"/>
              <w:spacing w:before="0" w:after="0" w:line="326" w:lineRule="exact"/>
              <w:ind w:left="60" w:right="0" w:firstLine="0"/>
            </w:pPr>
            <w:r>
              <w:rPr>
                <w:rStyle w:val="CharStyle14"/>
              </w:rPr>
              <w:t>размещение</w:t>
            </w:r>
          </w:p>
        </w:tc>
      </w:tr>
      <w:tr>
        <w:trPr>
          <w:trHeight w:val="403" w:hRule="exact"/>
        </w:trPr>
        <w:tc>
          <w:tcPr>
            <w:shd w:val="clear" w:color="auto" w:fill="FFFFFF"/>
            <w:tcBorders>
              <w:left w:val="single" w:sz="4"/>
              <w:top w:val="single" w:sz="4"/>
            </w:tcBorders>
            <w:vAlign w:val="bottom"/>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80" w:right="0" w:firstLine="0"/>
            </w:pPr>
            <w:r>
              <w:rPr>
                <w:rStyle w:val="CharStyle14"/>
              </w:rPr>
              <w:t>Дата и время окончания подачи заявок</w:t>
            </w:r>
          </w:p>
        </w:tc>
        <w:tc>
          <w:tcPr>
            <w:shd w:val="clear" w:color="auto" w:fill="FFFFFF"/>
            <w:tcBorders>
              <w:left w:val="single" w:sz="4"/>
              <w:right w:val="single" w:sz="4"/>
              <w:top w:val="single" w:sz="4"/>
            </w:tcBorders>
            <w:vAlign w:val="bottom"/>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60" w:right="0" w:firstLine="0"/>
            </w:pPr>
            <w:r>
              <w:rPr>
                <w:rStyle w:val="CharStyle14"/>
              </w:rPr>
              <w:t>13.10.2017 11:00</w:t>
            </w:r>
          </w:p>
        </w:tc>
      </w:tr>
      <w:tr>
        <w:trPr>
          <w:trHeight w:val="427" w:hRule="exact"/>
        </w:trPr>
        <w:tc>
          <w:tcPr>
            <w:shd w:val="clear" w:color="auto" w:fill="FFFFFF"/>
            <w:tcBorders>
              <w:left w:val="single" w:sz="4"/>
              <w:top w:val="single" w:sz="4"/>
              <w:bottom w:val="single" w:sz="4"/>
            </w:tcBorders>
            <w:vAlign w:val="top"/>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80" w:right="0" w:firstLine="0"/>
            </w:pPr>
            <w:r>
              <w:rPr>
                <w:rStyle w:val="CharStyle14"/>
              </w:rPr>
              <w:t>Дата проведения аукциона в электронной форме</w:t>
            </w:r>
          </w:p>
        </w:tc>
        <w:tc>
          <w:tcPr>
            <w:shd w:val="clear" w:color="auto" w:fill="FFFFFF"/>
            <w:tcBorders>
              <w:left w:val="single" w:sz="4"/>
              <w:right w:val="single" w:sz="4"/>
              <w:top w:val="single" w:sz="4"/>
              <w:bottom w:val="single" w:sz="4"/>
            </w:tcBorders>
            <w:vAlign w:val="top"/>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60" w:right="0" w:firstLine="0"/>
            </w:pPr>
            <w:r>
              <w:rPr>
                <w:rStyle w:val="CharStyle14"/>
              </w:rPr>
              <w:t>20.10.2017</w:t>
            </w:r>
          </w:p>
        </w:tc>
      </w:tr>
    </w:tbl>
    <w:p>
      <w:pPr>
        <w:widowControl w:val="0"/>
        <w:rPr>
          <w:sz w:val="2"/>
          <w:szCs w:val="2"/>
        </w:rPr>
      </w:pPr>
    </w:p>
    <w:p>
      <w:pPr>
        <w:pStyle w:val="Style9"/>
        <w:widowControl w:val="0"/>
        <w:keepNext w:val="0"/>
        <w:keepLines w:val="0"/>
        <w:shd w:val="clear" w:color="auto" w:fill="auto"/>
        <w:bidi w:val="0"/>
        <w:jc w:val="both"/>
        <w:spacing w:before="120" w:after="0"/>
        <w:ind w:left="0" w:right="20" w:firstLine="860"/>
      </w:pPr>
      <w:r>
        <w:rPr>
          <w:lang w:val="ru-RU" w:eastAsia="ru-RU" w:bidi="ru-RU"/>
          <w:w w:val="100"/>
          <w:spacing w:val="0"/>
          <w:color w:val="000000"/>
          <w:position w:val="0"/>
        </w:rPr>
        <w:t>Жалоба Заявителя подана в Крымское УФАС России 31.10.2017 (зарегистрирована 31.10.2017 за вх. №4747/09), т. е. после окончания срока подачи заявок на участие в Аукционе - 13.10.2017 11:00.</w:t>
      </w:r>
    </w:p>
    <w:p>
      <w:pPr>
        <w:pStyle w:val="Style9"/>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Пунктом 3 части 11 статьи 105 Закона о контрактной системе предусмотрено, что жалоба возвращается подавшему ее лицу без рассмотрения в случае, если жалоба подана по истечении срока, предусмотренного настоящей статьей.</w:t>
      </w:r>
    </w:p>
    <w:p>
      <w:pPr>
        <w:pStyle w:val="Style9"/>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Таким образом, жалоба подана Заявителем с нарушением срока, предусмотренного частью 4 статьи 105 Закона о контрактной системе, и в соответствии с пунктом 3 части 11 статьи 105 Закона о контрактной системе является основанием для возврата жалобы Заявителю без рассмотрения.</w:t>
      </w:r>
    </w:p>
    <w:p>
      <w:pPr>
        <w:pStyle w:val="Style9"/>
        <w:widowControl w:val="0"/>
        <w:keepNext w:val="0"/>
        <w:keepLines w:val="0"/>
        <w:shd w:val="clear" w:color="auto" w:fill="auto"/>
        <w:bidi w:val="0"/>
        <w:jc w:val="both"/>
        <w:spacing w:before="0" w:after="229"/>
        <w:ind w:left="0" w:right="20" w:firstLine="860"/>
      </w:pPr>
      <w:r>
        <w:rPr>
          <w:lang w:val="ru-RU" w:eastAsia="ru-RU" w:bidi="ru-RU"/>
          <w:w w:val="100"/>
          <w:spacing w:val="0"/>
          <w:color w:val="000000"/>
          <w:position w:val="0"/>
        </w:rPr>
        <w:t>На основании изложенного, руководствуясь частью 4, пунктом 3 части 11 статьи 105 Закона о контрактной системе, Комиссия</w:t>
      </w:r>
    </w:p>
    <w:p>
      <w:pPr>
        <w:pStyle w:val="Style9"/>
        <w:widowControl w:val="0"/>
        <w:keepNext w:val="0"/>
        <w:keepLines w:val="0"/>
        <w:shd w:val="clear" w:color="auto" w:fill="auto"/>
        <w:bidi w:val="0"/>
        <w:jc w:val="left"/>
        <w:spacing w:before="0" w:after="237" w:line="260" w:lineRule="exact"/>
        <w:ind w:left="4900" w:right="0" w:firstLine="0"/>
      </w:pPr>
      <w:r>
        <w:rPr>
          <w:lang w:val="ru-RU" w:eastAsia="ru-RU" w:bidi="ru-RU"/>
          <w:w w:val="100"/>
          <w:spacing w:val="0"/>
          <w:color w:val="000000"/>
          <w:position w:val="0"/>
        </w:rPr>
        <w:t>РЕШИЛА:</w:t>
      </w:r>
    </w:p>
    <w:p>
      <w:pPr>
        <w:pStyle w:val="Style9"/>
        <w:widowControl w:val="0"/>
        <w:keepNext w:val="0"/>
        <w:keepLines w:val="0"/>
        <w:shd w:val="clear" w:color="auto" w:fill="auto"/>
        <w:bidi w:val="0"/>
        <w:jc w:val="both"/>
        <w:spacing w:before="0" w:after="68" w:line="260" w:lineRule="exact"/>
        <w:ind w:left="0" w:right="0" w:firstLine="860"/>
      </w:pPr>
      <w:r>
        <w:rPr>
          <w:lang w:val="ru-RU" w:eastAsia="ru-RU" w:bidi="ru-RU"/>
          <w:w w:val="100"/>
          <w:spacing w:val="0"/>
          <w:color w:val="000000"/>
          <w:position w:val="0"/>
        </w:rPr>
        <w:t>Возвратить жалобу без рассмотрения.</w:t>
      </w:r>
    </w:p>
    <w:p>
      <w:pPr>
        <w:pStyle w:val="Style9"/>
        <w:framePr w:w="2082" w:h="1641" w:wrap="around" w:vAnchor="text" w:hAnchor="margin" w:x="7701" w:y="1173"/>
        <w:widowControl w:val="0"/>
        <w:keepNext w:val="0"/>
        <w:keepLines w:val="0"/>
        <w:shd w:val="clear" w:color="auto" w:fill="auto"/>
        <w:bidi w:val="0"/>
        <w:jc w:val="both"/>
        <w:spacing w:before="0" w:after="290" w:line="528" w:lineRule="exact"/>
        <w:ind w:left="100" w:right="100" w:firstLine="0"/>
      </w:pPr>
      <w:r>
        <w:rPr>
          <w:rStyle w:val="CharStyle11"/>
          <w:spacing w:val="0"/>
        </w:rPr>
        <w:t>М. С. Муравьёв Н. П. Казакова</w:t>
      </w:r>
    </w:p>
    <w:p>
      <w:pPr>
        <w:pStyle w:val="Style9"/>
        <w:framePr w:w="2082" w:h="1641" w:wrap="around" w:vAnchor="text" w:hAnchor="margin" w:x="7701" w:y="1173"/>
        <w:widowControl w:val="0"/>
        <w:keepNext w:val="0"/>
        <w:keepLines w:val="0"/>
        <w:shd w:val="clear" w:color="auto" w:fill="auto"/>
        <w:bidi w:val="0"/>
        <w:jc w:val="both"/>
        <w:spacing w:before="0" w:after="0" w:line="240" w:lineRule="exact"/>
        <w:ind w:left="100" w:right="0" w:firstLine="0"/>
      </w:pPr>
      <w:r>
        <w:rPr>
          <w:rStyle w:val="CharStyle11"/>
          <w:spacing w:val="0"/>
        </w:rPr>
        <w:t>Д. В. Савченко</w:t>
      </w:r>
    </w:p>
    <w:p>
      <w:pPr>
        <w:pStyle w:val="Style9"/>
        <w:widowControl w:val="0"/>
        <w:keepNext w:val="0"/>
        <w:keepLines w:val="0"/>
        <w:shd w:val="clear" w:color="auto" w:fill="auto"/>
        <w:bidi w:val="0"/>
        <w:jc w:val="both"/>
        <w:spacing w:before="0" w:after="769"/>
        <w:ind w:left="0" w:right="20" w:firstLine="860"/>
      </w:pPr>
      <w:r>
        <w:rPr>
          <w:lang w:val="ru-RU" w:eastAsia="ru-RU" w:bidi="ru-RU"/>
          <w:w w:val="100"/>
          <w:spacing w:val="0"/>
          <w:color w:val="000000"/>
          <w:position w:val="0"/>
        </w:rPr>
        <w:t>Решение о возвращении жалобы может быть обжаловано в судебном порядке.</w:t>
      </w:r>
    </w:p>
    <w:p>
      <w:pPr>
        <w:pStyle w:val="Style9"/>
        <w:widowControl w:val="0"/>
        <w:keepNext w:val="0"/>
        <w:keepLines w:val="0"/>
        <w:shd w:val="clear" w:color="auto" w:fill="auto"/>
        <w:bidi w:val="0"/>
        <w:jc w:val="left"/>
        <w:spacing w:before="0" w:after="232" w:line="260" w:lineRule="exact"/>
        <w:ind w:left="0" w:right="0" w:firstLine="0"/>
      </w:pPr>
      <w:r>
        <w:rPr>
          <w:lang w:val="ru-RU" w:eastAsia="ru-RU" w:bidi="ru-RU"/>
          <w:w w:val="100"/>
          <w:spacing w:val="0"/>
          <w:color w:val="000000"/>
          <w:position w:val="0"/>
        </w:rPr>
        <w:t>Председатель Комиссии:</w:t>
      </w:r>
    </w:p>
    <w:p>
      <w:pPr>
        <w:pStyle w:val="Style9"/>
        <w:widowControl w:val="0"/>
        <w:keepNext w:val="0"/>
        <w:keepLines w:val="0"/>
        <w:shd w:val="clear" w:color="auto" w:fill="auto"/>
        <w:bidi w:val="0"/>
        <w:jc w:val="left"/>
        <w:spacing w:before="0" w:after="347" w:line="260" w:lineRule="exact"/>
        <w:ind w:left="0" w:right="0" w:firstLine="0"/>
      </w:pPr>
      <w:r>
        <w:rPr>
          <w:lang w:val="ru-RU" w:eastAsia="ru-RU" w:bidi="ru-RU"/>
          <w:w w:val="100"/>
          <w:spacing w:val="0"/>
          <w:color w:val="000000"/>
          <w:position w:val="0"/>
        </w:rPr>
        <w:t>Заместитель председателя Комиссии:</w:t>
      </w:r>
    </w:p>
    <w:p>
      <w:pPr>
        <w:pStyle w:val="Style9"/>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Член Комиссии:</w:t>
      </w:r>
    </w:p>
    <w:sectPr>
      <w:type w:val="continuous"/>
      <w:pgSz w:w="11906" w:h="16838"/>
      <w:pgMar w:top="1448" w:left="872" w:right="814" w:bottom="93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31.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29.09.%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3">
    <w:name w:val="Основной текст (5)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w:basedOn w:val="CharStyle10"/>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24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spacing w:before="240" w:line="51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center"/>
      <w:spacing w:after="180"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