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41704D" w:rsidRPr="0041704D" w:rsidRDefault="0041704D" w:rsidP="0041704D">
            <w:pPr>
              <w:rPr>
                <w:iCs/>
                <w:sz w:val="26"/>
                <w:szCs w:val="26"/>
              </w:rPr>
            </w:pPr>
          </w:p>
          <w:p w:rsidR="0041704D" w:rsidRPr="0041704D" w:rsidRDefault="0041704D" w:rsidP="0041704D">
            <w:pPr>
              <w:rPr>
                <w:iCs/>
                <w:sz w:val="26"/>
                <w:szCs w:val="26"/>
              </w:rPr>
            </w:pPr>
          </w:p>
          <w:p w:rsidR="0041704D" w:rsidRPr="0041704D" w:rsidRDefault="0041704D" w:rsidP="0041704D">
            <w:pPr>
              <w:rPr>
                <w:iCs/>
                <w:sz w:val="26"/>
                <w:szCs w:val="26"/>
              </w:rPr>
            </w:pPr>
            <w:r w:rsidRPr="0041704D">
              <w:rPr>
                <w:iCs/>
                <w:sz w:val="26"/>
                <w:szCs w:val="26"/>
              </w:rPr>
              <w:t>ГБУЗ "СПБ КНПЦСВМП(О)"</w:t>
            </w:r>
          </w:p>
          <w:p w:rsidR="0041704D" w:rsidRPr="0041704D" w:rsidRDefault="0041704D" w:rsidP="0041704D">
            <w:pPr>
              <w:rPr>
                <w:iCs/>
                <w:sz w:val="26"/>
                <w:szCs w:val="26"/>
              </w:rPr>
            </w:pPr>
          </w:p>
          <w:p w:rsidR="0041704D" w:rsidRPr="0041704D" w:rsidRDefault="0041704D" w:rsidP="0041704D">
            <w:pPr>
              <w:rPr>
                <w:iCs/>
                <w:sz w:val="26"/>
                <w:szCs w:val="26"/>
              </w:rPr>
            </w:pPr>
            <w:r w:rsidRPr="0041704D">
              <w:rPr>
                <w:iCs/>
                <w:sz w:val="26"/>
                <w:szCs w:val="26"/>
              </w:rPr>
              <w:t xml:space="preserve">Российская Федерация, 197758, Санкт-Петербург, Песочный п, УЛ ЛЕНИНГРАДСКАЯ, 68А/ЛИТ.А </w:t>
            </w:r>
          </w:p>
          <w:p w:rsidR="0041704D" w:rsidRPr="0041704D" w:rsidRDefault="0041704D" w:rsidP="0041704D">
            <w:pPr>
              <w:rPr>
                <w:iCs/>
                <w:sz w:val="26"/>
                <w:szCs w:val="26"/>
              </w:rPr>
            </w:pPr>
          </w:p>
          <w:p w:rsidR="0041704D" w:rsidRPr="0041704D" w:rsidRDefault="0041704D" w:rsidP="0041704D">
            <w:pPr>
              <w:rPr>
                <w:iCs/>
                <w:sz w:val="26"/>
                <w:szCs w:val="26"/>
              </w:rPr>
            </w:pPr>
            <w:r w:rsidRPr="0041704D">
              <w:rPr>
                <w:iCs/>
                <w:sz w:val="26"/>
                <w:szCs w:val="26"/>
              </w:rPr>
              <w:t xml:space="preserve">ООО "МЕДПОСТАВЩИК" </w:t>
            </w:r>
          </w:p>
          <w:p w:rsidR="0041704D" w:rsidRPr="0041704D" w:rsidRDefault="0041704D" w:rsidP="0041704D">
            <w:pPr>
              <w:rPr>
                <w:iCs/>
                <w:sz w:val="26"/>
                <w:szCs w:val="26"/>
              </w:rPr>
            </w:pPr>
          </w:p>
          <w:p w:rsidR="0041704D" w:rsidRPr="0041704D" w:rsidRDefault="0041704D" w:rsidP="0041704D">
            <w:pPr>
              <w:rPr>
                <w:iCs/>
                <w:sz w:val="26"/>
                <w:szCs w:val="26"/>
              </w:rPr>
            </w:pPr>
            <w:r w:rsidRPr="0041704D">
              <w:rPr>
                <w:iCs/>
                <w:sz w:val="26"/>
                <w:szCs w:val="26"/>
              </w:rPr>
              <w:t>660111, КРАСНОЯРСКИЙ КРАЙ, Г. КРАСНОЯРСК, УЛ. ПОГРАНИЧНИКОВ, Д. 103Г, ПОМЕЩЕНИЕ 2 ЭТАЖ 2 КАБИНЕТ 2</w:t>
            </w:r>
          </w:p>
          <w:p w:rsidR="0096586C" w:rsidRPr="00881079" w:rsidRDefault="0096586C" w:rsidP="0028597F">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1A58C9" w:rsidRDefault="001A58C9" w:rsidP="00E93102">
            <w:pPr>
              <w:widowControl w:val="0"/>
              <w:rPr>
                <w:color w:val="000000"/>
                <w:sz w:val="26"/>
                <w:szCs w:val="26"/>
              </w:rPr>
            </w:pPr>
          </w:p>
          <w:p w:rsidR="001A58C9" w:rsidRPr="00AC7CC6" w:rsidRDefault="001A58C9"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41704D" w:rsidRPr="0041704D">
        <w:rPr>
          <w:b/>
          <w:sz w:val="26"/>
          <w:szCs w:val="26"/>
        </w:rPr>
        <w:t>078/06/105-4143/2026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41704D" w:rsidP="00DA27B4">
      <w:pPr>
        <w:widowControl w:val="0"/>
        <w:tabs>
          <w:tab w:val="left" w:pos="0"/>
        </w:tabs>
        <w:jc w:val="both"/>
        <w:rPr>
          <w:sz w:val="26"/>
          <w:szCs w:val="26"/>
        </w:rPr>
      </w:pPr>
      <w:r>
        <w:rPr>
          <w:sz w:val="26"/>
          <w:szCs w:val="26"/>
        </w:rPr>
        <w:t>24</w:t>
      </w:r>
      <w:r w:rsidR="0096586C" w:rsidRPr="00AC7CC6">
        <w:rPr>
          <w:sz w:val="26"/>
          <w:szCs w:val="26"/>
        </w:rPr>
        <w:t>.</w:t>
      </w:r>
      <w:r w:rsidR="009C77C4">
        <w:rPr>
          <w:sz w:val="26"/>
          <w:szCs w:val="26"/>
        </w:rPr>
        <w:t>0</w:t>
      </w:r>
      <w:r w:rsidR="004A19D6" w:rsidRPr="009D4375">
        <w:rPr>
          <w:sz w:val="26"/>
          <w:szCs w:val="26"/>
        </w:rPr>
        <w:t>9</w:t>
      </w:r>
      <w:r w:rsidR="0096586C" w:rsidRPr="00AC7CC6">
        <w:rPr>
          <w:sz w:val="26"/>
          <w:szCs w:val="26"/>
        </w:rPr>
        <w:t>.202</w:t>
      </w:r>
      <w:r w:rsidR="009C77C4">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8D26D0">
      <w:pPr>
        <w:tabs>
          <w:tab w:val="left" w:pos="0"/>
        </w:tabs>
        <w:jc w:val="both"/>
        <w:rPr>
          <w:spacing w:val="-6"/>
          <w:sz w:val="26"/>
          <w:szCs w:val="26"/>
        </w:rPr>
      </w:pPr>
      <w:r w:rsidRPr="00AC7CC6">
        <w:rPr>
          <w:spacing w:val="-6"/>
          <w:sz w:val="26"/>
          <w:szCs w:val="26"/>
        </w:rPr>
        <w:tab/>
      </w:r>
      <w:r w:rsidR="008D26D0">
        <w:rPr>
          <w:spacing w:val="-6"/>
          <w:sz w:val="26"/>
          <w:szCs w:val="26"/>
        </w:rPr>
        <w:t xml:space="preserve"> </w:t>
      </w:r>
    </w:p>
    <w:p w:rsidR="00881079" w:rsidRPr="00566503" w:rsidRDefault="0016120F" w:rsidP="0028597F">
      <w:pPr>
        <w:tabs>
          <w:tab w:val="left" w:pos="0"/>
        </w:tabs>
        <w:jc w:val="both"/>
        <w:rPr>
          <w:iCs/>
          <w:spacing w:val="-6"/>
          <w:sz w:val="26"/>
          <w:szCs w:val="26"/>
        </w:rPr>
      </w:pPr>
      <w:r>
        <w:rPr>
          <w:spacing w:val="-6"/>
          <w:sz w:val="26"/>
          <w:szCs w:val="26"/>
        </w:rPr>
        <w:tab/>
      </w:r>
      <w:r w:rsidR="009D4375">
        <w:rPr>
          <w:spacing w:val="-6"/>
          <w:sz w:val="26"/>
          <w:szCs w:val="26"/>
        </w:rPr>
        <w:t>при участии</w:t>
      </w:r>
      <w:r w:rsidR="0028597F">
        <w:rPr>
          <w:spacing w:val="-6"/>
          <w:sz w:val="26"/>
          <w:szCs w:val="26"/>
        </w:rPr>
        <w:t xml:space="preserve"> представителей </w:t>
      </w:r>
      <w:r w:rsidR="0041704D" w:rsidRPr="0041704D">
        <w:rPr>
          <w:spacing w:val="-6"/>
          <w:sz w:val="26"/>
          <w:szCs w:val="26"/>
        </w:rPr>
        <w:t>ГБУЗ "СПБ КНПЦСВМП(О)"</w:t>
      </w:r>
      <w:r w:rsidR="004A19D6" w:rsidRPr="004A19D6">
        <w:rPr>
          <w:spacing w:val="-6"/>
          <w:sz w:val="26"/>
          <w:szCs w:val="26"/>
        </w:rPr>
        <w:t xml:space="preserve"> </w:t>
      </w:r>
      <w:r w:rsidR="00683B4E" w:rsidRPr="00683B4E">
        <w:rPr>
          <w:spacing w:val="-6"/>
          <w:sz w:val="26"/>
          <w:szCs w:val="26"/>
        </w:rPr>
        <w:t>(</w:t>
      </w:r>
      <w:r w:rsidR="00683B4E">
        <w:rPr>
          <w:spacing w:val="-6"/>
          <w:sz w:val="26"/>
          <w:szCs w:val="26"/>
        </w:rPr>
        <w:t>далее – Заявитель)</w:t>
      </w:r>
      <w:r w:rsidR="0028597F">
        <w:rPr>
          <w:spacing w:val="-6"/>
          <w:sz w:val="26"/>
          <w:szCs w:val="26"/>
        </w:rPr>
        <w:t>:</w:t>
      </w:r>
      <w:r w:rsidR="00683B4E">
        <w:rPr>
          <w:spacing w:val="-6"/>
          <w:sz w:val="26"/>
          <w:szCs w:val="26"/>
        </w:rPr>
        <w:t xml:space="preserve"> </w:t>
      </w:r>
      <w:r w:rsidR="008D26D0">
        <w:rPr>
          <w:spacing w:val="-6"/>
          <w:sz w:val="26"/>
          <w:szCs w:val="26"/>
        </w:rPr>
        <w:t xml:space="preserve"> </w:t>
      </w:r>
      <w:r w:rsidR="0028597F">
        <w:rPr>
          <w:spacing w:val="-6"/>
          <w:sz w:val="26"/>
          <w:szCs w:val="26"/>
        </w:rPr>
        <w:t>,</w:t>
      </w:r>
    </w:p>
    <w:p w:rsidR="00683B4E" w:rsidRPr="00FC06FB" w:rsidRDefault="00881079" w:rsidP="0028597F">
      <w:pPr>
        <w:tabs>
          <w:tab w:val="left" w:pos="0"/>
        </w:tabs>
        <w:jc w:val="both"/>
        <w:rPr>
          <w:spacing w:val="-6"/>
          <w:sz w:val="26"/>
          <w:szCs w:val="26"/>
        </w:rPr>
      </w:pPr>
      <w:r>
        <w:rPr>
          <w:spacing w:val="-6"/>
          <w:sz w:val="26"/>
          <w:szCs w:val="26"/>
        </w:rPr>
        <w:tab/>
      </w:r>
      <w:r w:rsidR="009D4375">
        <w:rPr>
          <w:spacing w:val="-6"/>
          <w:sz w:val="26"/>
          <w:szCs w:val="26"/>
        </w:rPr>
        <w:t xml:space="preserve">в отсутствие представителей </w:t>
      </w:r>
      <w:r w:rsidR="009C77C4" w:rsidRPr="009C77C4">
        <w:rPr>
          <w:spacing w:val="-6"/>
          <w:sz w:val="26"/>
          <w:szCs w:val="26"/>
        </w:rPr>
        <w:t>ООО "</w:t>
      </w:r>
      <w:r w:rsidR="009D4375" w:rsidRPr="009D4375">
        <w:rPr>
          <w:spacing w:val="-6"/>
          <w:sz w:val="26"/>
          <w:szCs w:val="26"/>
        </w:rPr>
        <w:t>МЕДПОСТАВЩИК</w:t>
      </w:r>
      <w:r w:rsidR="009C77C4" w:rsidRPr="009C77C4">
        <w:rPr>
          <w:spacing w:val="-6"/>
          <w:sz w:val="26"/>
          <w:szCs w:val="26"/>
        </w:rPr>
        <w:t>"</w:t>
      </w:r>
      <w:r w:rsidR="009C77C4">
        <w:rPr>
          <w:spacing w:val="-6"/>
          <w:sz w:val="26"/>
          <w:szCs w:val="26"/>
        </w:rPr>
        <w:t xml:space="preserve"> </w:t>
      </w:r>
      <w:r w:rsidR="0028597F">
        <w:rPr>
          <w:spacing w:val="-6"/>
          <w:sz w:val="26"/>
          <w:szCs w:val="26"/>
        </w:rPr>
        <w:t>(далее – Заявитель)</w:t>
      </w:r>
      <w:r w:rsidR="009D4375">
        <w:rPr>
          <w:spacing w:val="-6"/>
          <w:sz w:val="26"/>
          <w:szCs w:val="26"/>
        </w:rPr>
        <w:t xml:space="preserve"> уведомленных о заседании Комиссии УФАС</w:t>
      </w:r>
      <w:r w:rsidR="00FC06FB" w:rsidRPr="00FC06FB">
        <w:rPr>
          <w:spacing w:val="-6"/>
          <w:sz w:val="26"/>
          <w:szCs w:val="26"/>
        </w:rPr>
        <w:t>;</w:t>
      </w:r>
    </w:p>
    <w:p w:rsidR="0096586C" w:rsidRPr="00AC7CC6" w:rsidRDefault="00F15053" w:rsidP="0041704D">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41704D" w:rsidRPr="0041704D">
        <w:rPr>
          <w:sz w:val="26"/>
          <w:szCs w:val="26"/>
        </w:rPr>
        <w:t>(вх. № 23302</w:t>
      </w:r>
      <w:r w:rsidR="0041704D">
        <w:rPr>
          <w:sz w:val="26"/>
          <w:szCs w:val="26"/>
        </w:rPr>
        <w:t xml:space="preserve">/26 от 21.09.2026) на действия </w:t>
      </w:r>
      <w:r w:rsidR="0041704D" w:rsidRPr="0041704D">
        <w:rPr>
          <w:sz w:val="26"/>
          <w:szCs w:val="26"/>
        </w:rPr>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w:t>
      </w:r>
      <w:r w:rsidR="0041704D">
        <w:rPr>
          <w:sz w:val="26"/>
          <w:szCs w:val="26"/>
        </w:rPr>
        <w:t xml:space="preserve">ИЧЕСКИЙ)", (далее – Заказчик), </w:t>
      </w:r>
      <w:r w:rsidR="0041704D" w:rsidRPr="0041704D">
        <w:rPr>
          <w:sz w:val="26"/>
          <w:szCs w:val="26"/>
        </w:rPr>
        <w:t xml:space="preserve">при определении (подрядчика, исполнителя) путем проведения закупки на </w:t>
      </w:r>
      <w:r w:rsidR="0041704D">
        <w:rPr>
          <w:sz w:val="26"/>
          <w:szCs w:val="26"/>
        </w:rPr>
        <w:t>п</w:t>
      </w:r>
      <w:r w:rsidR="0041704D" w:rsidRPr="0041704D">
        <w:rPr>
          <w:sz w:val="26"/>
          <w:szCs w:val="26"/>
        </w:rPr>
        <w:t>оставк</w:t>
      </w:r>
      <w:r w:rsidR="0041704D">
        <w:rPr>
          <w:sz w:val="26"/>
          <w:szCs w:val="26"/>
        </w:rPr>
        <w:t>у</w:t>
      </w:r>
      <w:r w:rsidR="0041704D" w:rsidRPr="0041704D">
        <w:rPr>
          <w:sz w:val="26"/>
          <w:szCs w:val="26"/>
        </w:rPr>
        <w:t xml:space="preserve"> медицинских изделий для отделений центра в 2026 году (часть 37) (извещение № 0372200277326000683)</w:t>
      </w:r>
      <w:r w:rsidR="00C20C2E" w:rsidRPr="00C20C2E">
        <w:rPr>
          <w:sz w:val="26"/>
          <w:szCs w:val="26"/>
        </w:rPr>
        <w:t xml:space="preserve"> </w:t>
      </w:r>
      <w:r w:rsidR="0096586C" w:rsidRPr="00AC7CC6">
        <w:rPr>
          <w:sz w:val="26"/>
          <w:szCs w:val="26"/>
        </w:rPr>
        <w:t xml:space="preserve">(далее – </w:t>
      </w:r>
      <w:r w:rsidR="008934D4">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Default="0096586C" w:rsidP="00DA27B4">
      <w:pPr>
        <w:widowControl w:val="0"/>
        <w:jc w:val="center"/>
        <w:rPr>
          <w:sz w:val="26"/>
          <w:szCs w:val="26"/>
        </w:rPr>
      </w:pPr>
    </w:p>
    <w:p w:rsidR="009D4375" w:rsidRDefault="009D4375" w:rsidP="00DA27B4">
      <w:pPr>
        <w:widowControl w:val="0"/>
        <w:jc w:val="center"/>
        <w:rPr>
          <w:sz w:val="26"/>
          <w:szCs w:val="26"/>
        </w:rPr>
      </w:pPr>
    </w:p>
    <w:p w:rsidR="009D4375" w:rsidRPr="00AC7CC6" w:rsidRDefault="009D4375"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41704D">
        <w:rPr>
          <w:sz w:val="26"/>
          <w:szCs w:val="26"/>
        </w:rPr>
        <w:t>запроса котировок</w:t>
      </w:r>
      <w:r w:rsidRPr="00AC7CC6">
        <w:rPr>
          <w:sz w:val="26"/>
          <w:szCs w:val="26"/>
        </w:rPr>
        <w:t xml:space="preserve"> размещено </w:t>
      </w:r>
      <w:r w:rsidR="0041704D">
        <w:rPr>
          <w:sz w:val="26"/>
          <w:szCs w:val="26"/>
        </w:rPr>
        <w:t>16</w:t>
      </w:r>
      <w:r w:rsidRPr="00AC7CC6">
        <w:rPr>
          <w:sz w:val="26"/>
          <w:szCs w:val="26"/>
        </w:rPr>
        <w:t>.</w:t>
      </w:r>
      <w:r w:rsidR="009C77C4">
        <w:rPr>
          <w:sz w:val="26"/>
          <w:szCs w:val="26"/>
        </w:rPr>
        <w:t>0</w:t>
      </w:r>
      <w:r w:rsidR="004C4A44">
        <w:rPr>
          <w:sz w:val="26"/>
          <w:szCs w:val="26"/>
        </w:rPr>
        <w:t>9</w:t>
      </w:r>
      <w:r w:rsidRPr="00AC7CC6">
        <w:rPr>
          <w:sz w:val="26"/>
          <w:szCs w:val="26"/>
        </w:rPr>
        <w:t>.202</w:t>
      </w:r>
      <w:r w:rsidR="009C77C4">
        <w:rPr>
          <w:sz w:val="26"/>
          <w:szCs w:val="26"/>
        </w:rPr>
        <w:t>6</w:t>
      </w:r>
      <w:r w:rsidRPr="00AC7CC6">
        <w:rPr>
          <w:sz w:val="26"/>
          <w:szCs w:val="26"/>
        </w:rPr>
        <w:t xml:space="preserve"> на Официальном сайте Единой информационной системы в сфере закупок </w:t>
      </w:r>
      <w:r w:rsidRPr="00AC7CC6">
        <w:rPr>
          <w:sz w:val="26"/>
          <w:szCs w:val="26"/>
        </w:rPr>
        <w:lastRenderedPageBreak/>
        <w:t>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41704D" w:rsidRPr="0041704D">
        <w:rPr>
          <w:sz w:val="26"/>
          <w:szCs w:val="26"/>
        </w:rPr>
        <w:t>0372200277326000683</w:t>
      </w:r>
      <w:r w:rsidRPr="00AC7CC6">
        <w:rPr>
          <w:sz w:val="26"/>
          <w:szCs w:val="26"/>
        </w:rPr>
        <w:t xml:space="preserve">. Начальная (максимальная) цена контракта – </w:t>
      </w:r>
      <w:r w:rsidR="0041704D" w:rsidRPr="0041704D">
        <w:rPr>
          <w:sz w:val="26"/>
          <w:szCs w:val="26"/>
          <w:shd w:val="clear" w:color="auto" w:fill="FFFFFF"/>
        </w:rPr>
        <w:t>1 750 000,</w:t>
      </w:r>
      <w:r w:rsidR="0041704D">
        <w:rPr>
          <w:sz w:val="26"/>
          <w:szCs w:val="26"/>
          <w:shd w:val="clear" w:color="auto" w:fill="FFFFFF"/>
        </w:rPr>
        <w:t xml:space="preserve"> </w:t>
      </w:r>
      <w:r w:rsidR="0041704D" w:rsidRPr="0041704D">
        <w:rPr>
          <w:sz w:val="26"/>
          <w:szCs w:val="26"/>
          <w:shd w:val="clear" w:color="auto" w:fill="FFFFFF"/>
        </w:rPr>
        <w:t>00</w:t>
      </w:r>
      <w:r w:rsidR="009C77C4">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2 ст. 24 Закона о контрактной системе конкурентными способами являются:</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3) запрос котировок в электронной форме (далее - электронный запрос котировок).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 мнению Заявителя, Заказчик при описании объекта закупки установил характеристики, которым не соответствует продукция российского происхождения. Заявитель указывает, что закупаемый товар относится к продукции, в отношении которой действует национальный режим по Постановлению Правительства Российской Федерации от 23.12.2024 № 1875. В связи с этим, по позиции Заявителя, Заказчик должен был описывать товар с использованием характеристик товара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lastRenderedPageBreak/>
        <w:t>Заявитель также указывает, что отдельные требования к внешней поверхности, длине, толщине и иным характеристикам медицинских перчаток являются избыточными, не предусмотрены нормативно-техническими документами и ограничивают возможность участия поставщиков, предлагающих продукцию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В соответствии с ч. 2 ст. 24 Закона о контрактной системе конкурентными способами являются:</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3) запрос котировок в электронной форме (далее - электронный запрос котировок).</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Заявитель также указывает, что отдельные требования к внешней поверхности, длине, толщине и иным характеристикам медицинских перчаток являются избыточными, не предусмотрены нормативно-техническими документами и ограничивают возможность участия поставщиков, предлагающих продукцию российского происхождения.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lastRenderedPageBreak/>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 xml:space="preserve">Объект закупки: </w:t>
      </w:r>
      <w:r w:rsidRPr="00977F61">
        <w:rPr>
          <w:sz w:val="26"/>
          <w:szCs w:val="26"/>
        </w:rPr>
        <w:t>Перчатки смотровые/процедурные нитриловые, неопудренные, нестерильные</w:t>
      </w:r>
      <w:r w:rsidRPr="009D4375">
        <w:rPr>
          <w:sz w:val="26"/>
          <w:szCs w:val="26"/>
        </w:rPr>
        <w:t>.</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Заказчиком применена позиция КТРУ 22.19.60.119-00000008 «Перчатки смотровые/процедурные нитриловые, неопудренные, нестерильные».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Пункт 5 части 1 статьи 42 Закона о контрактной системе предусматривает включение в извещение наименования объекта закупки и информации, предусмотренной правилами использования каталога товаров, работ, услуг для обеспечения государственных и муниципальных нужд.</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Согласно части 6 статьи 23 Закона о контрактной системе при планировании и осуществлении закупок должен использоваться каталог товаров, работ, услуг для обеспечения государственных и муниципальных нужд.</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Постановлением Правительства Российской Федерации от 08.02.2017</w:t>
      </w:r>
      <w:r w:rsidRPr="009D4375">
        <w:rPr>
          <w:sz w:val="26"/>
          <w:szCs w:val="26"/>
        </w:rPr>
        <w:br/>
        <w:t>№ 145 утверждены Правила использования КТРУ. Указанные Правила обязывают Заказчика применять информацию, включенную в соответствующую позицию каталога, с даты начала ее обязательного применения. При этом Заказчик вправе указать в извещении дополнительную информацию и дополнительные потребительские свойства товара, если такие сведения соответствуют статье 33 Закона о контрактной системе.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Следовательно, при наличии позиции КТРУ Заказчик обязан использовать сведения каталога, но не лишен права конкретизировать объект закупки дополнительными характеристиками. Такое право обусловлено необходимостью описать реальную потребность Заказчика, если сведений КТРУ недостаточно для закупки товара, пригодного для использования в конкретных условиях.</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В рассматриваемой закупке Заказчик применил позицию КТРУ 22.19.60.119-00000008. Описание товара из КТРУ воспроизведено в извещении.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объектом закупки являются медицинские изделия, используемые в учреждении здравоохранения. Такие товары применяются при оказании медицинской помощи, санитарно-противоэпидемических мероприятиях, обработке медицинского инструментария, манипуляциях с биологическими жидкостями, а также при работах, связанных с повышенными рисками инфицирования медицинского персонала и пациентов.</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В этой связи Заказчик вправе устанавливать не только общие характеристики перчаток, но и характеристики, связанные с безопасностью, механической прочностью, химической устойчивостью, тактильной чувствительностью, защитой предплечья, снижением риска контаминации и возможностью объективного контроля загрязнений.</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 xml:space="preserve">Право Заказчика определить характеристики товара не является произвольным. Оно должно реализовываться с учетом статьи 33 Закона о контрактной системе. Однако Закон о контрактной системе не обязывает Заказчика закупать любой товар, формально относящийся к той же группе продукции, если </w:t>
      </w:r>
      <w:r w:rsidRPr="009D4375">
        <w:rPr>
          <w:sz w:val="26"/>
          <w:szCs w:val="26"/>
        </w:rPr>
        <w:lastRenderedPageBreak/>
        <w:t>такой товар не обеспечивает потребность медицинского учреждения.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Пункт 1 части 1 статьи 33 Закона о контрактной системе предусматривает, что в описании объекта закупки указываются функциональные, технические, качественные и при необходимости эксплуатационные характеристики объекта закупки.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Пункт 2 части 1 статьи 33 Закона о контрактной системе требует использовать показатели, требования, условные обозначения и терминологию, предусмотренные техническими регламентами, документами национальной системы стандартизации и иными требованиями, связанными с определением соответствия поставляемого товара потребностям заказчика. Если Заказчик использует иные показатели, описание должно содержать обоснование необходимости их применения.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Из указанной нормы следует, что документы стандартизации имеют значение при описании объекта закупки. Вместе с тем, они не подменяют собой потребность Заказчика и не запрещают установление дополнительных требований, если такие требования связаны с условиями применения товара и надлежащим образом обоснованы.</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Иное толкование фактически свело бы описание объекта закупки только к минимальному набору стандартных параметров и лишило бы заказчиков возможности закупать медицинские изделия, учитывающие специфику медицинской деятельности.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Такой подход не соответствует Закону о контрактной системе</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ребованием извещения установлен AQL на герметичность.</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Согласно ГОСТ Р 52239-2024 (ИСО 11193-1:2020). «Национальный стандарт РФ. Перчатки медицинские диагностические однократного применения. Часть 1. Спецификация на перчатки из каучукового латекса или раствора», AQL — это «максимальный процент брака в партии (или максимальное количество дефектов на сто единиц продукции), который для целей приемки партии по качеству может считаться как удовлетворяющий средним стандартам».</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Чем меньше уровень AQL, тем меньше количество брака, Заказчик как лицо реализующие бюджетные деньги, и как любой другой потребитель заинтересован в том, чтобы количество брака было минимальным.</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 xml:space="preserve">Данный контроль проходят все изделия ещё на этапе производства (формирования самой перчатки). Не существует ни одной медицинской перчатки, в отношении которой не был бы известен уровень AQL. Абсолютно все производители перчаток, имеют полное представление о нём  и\или проводят собственные испытания.  </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По своей специфике уровень качества – существенный показатель, отвечающий строго за Качество изделия – чем меньше значение AQL, тем меньше количество брака при производстве, выявляемое при использовании. Соответственно, чем выше показатель – тем выше количество брака выявляется при использовании.</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 xml:space="preserve">ГОСТ в отношении данного показателя определяет лишь верхнее значение, при превышении которого производство и поставка такой продукции отдельно согласуется между изготовителем и потребителем. </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Незначительное повышение уровня AQL ведет к значительному гарантированному снижению количества дефектных перчаток.</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 xml:space="preserve">Так как учреждение желает закупить качественный товар с минимальным </w:t>
      </w:r>
      <w:r w:rsidRPr="0056637B">
        <w:rPr>
          <w:sz w:val="26"/>
          <w:szCs w:val="26"/>
        </w:rPr>
        <w:lastRenderedPageBreak/>
        <w:t>возможным уровнем брака, поэтому и было установлено подобное требование.</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Так, в ГОСТ 32337-2013, и в ГОСТ Р 52239-2024 указано, что максимальный AQL по герметичности, который должны иметь медицинские перчатки, - 2,5:</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Национальный стандарт РФ ГОСТ Р ИСО 2859-1-2007 "Статистические методы. Процедуры выборочного контроля по альтернативному признаку. Часть 1. Планы выборочного контроля последовательных партий на основе приемлемого уровня качества" (утв. приказом Федерального агентства по техническому регулированию и метрологии от 21 марта 2007 г. N 38-ст) предусматривает уровни AQL, начиная с 0,01 и выше.</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Требование в извещении в виде Допустимый уровень качества AQL, герметичность (0,65) – это указание максимально допустимого значения по данной характеристики в соответствующей позиции, Участники к поставке самостоятельно декларируют соответствие данным показателям предложенного ими товара, профессиональному участнику должно было быть понятно установленное требование.</w:t>
      </w:r>
    </w:p>
    <w:p w:rsidR="0041704D" w:rsidRPr="0056637B" w:rsidRDefault="0041704D" w:rsidP="0041704D">
      <w:pPr>
        <w:widowControl w:val="0"/>
        <w:autoSpaceDE w:val="0"/>
        <w:autoSpaceDN w:val="0"/>
        <w:adjustRightInd w:val="0"/>
        <w:ind w:firstLine="708"/>
        <w:jc w:val="both"/>
        <w:outlineLvl w:val="1"/>
        <w:rPr>
          <w:sz w:val="26"/>
          <w:szCs w:val="26"/>
        </w:rPr>
      </w:pPr>
      <w:r w:rsidRPr="0056637B">
        <w:rPr>
          <w:sz w:val="26"/>
          <w:szCs w:val="26"/>
        </w:rPr>
        <w:t>Более того, такой показатель как AQL, во множестве случаев прописывается в инструкциях к регистрационному удостоверению на медицинское изделие (далее – РУ) имеющихся и зарегистрированных в РФ, и находящихся в свободном доступе на сайте Росздравнадзора. Из этого следует, что, в случае отсутствия по какой-либо причине достоверной информации у участника закупки о показателе AQL к имеющемуся у него РУ к медицинскому изделию, он не лишен возможности выбрать медицинское изделие, с РУ, где такой показатель будет указан в Инструкции к РУ, либо прописан в описании медицинского изделия, поскольку Предметом закупки является поставка, а не производство товара.</w:t>
      </w:r>
    </w:p>
    <w:p w:rsidR="0041704D" w:rsidRDefault="0041704D" w:rsidP="0041704D">
      <w:pPr>
        <w:widowControl w:val="0"/>
        <w:autoSpaceDE w:val="0"/>
        <w:autoSpaceDN w:val="0"/>
        <w:adjustRightInd w:val="0"/>
        <w:ind w:firstLine="708"/>
        <w:jc w:val="both"/>
        <w:outlineLvl w:val="1"/>
        <w:rPr>
          <w:sz w:val="26"/>
          <w:szCs w:val="26"/>
        </w:rPr>
      </w:pPr>
      <w:r w:rsidRPr="0056637B">
        <w:rPr>
          <w:sz w:val="26"/>
          <w:szCs w:val="26"/>
        </w:rPr>
        <w:t>При этом уровень AQL обязателен для маркировки и прописывается на каждой упаковке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оценила довод о нарушении части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Часть 1.1 статьи 33 Закона о контрактной системе предусматривает, что при описании товара,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Указанная норма должна применяться во взаимосвязи со статьей 14 Закона о контрактной системе и Постановлением № 1875.</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Ее смысл состоит в том, что при наличии применимых товаров российского происхождения Заказчик не должен формировать описание объекта закупки по характеристикам иностранного товара, игнорируя характеристики российского товара, на поддержку которого направлен национальный режим.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Вместе с тем, часть 1.1 статьи 33 Закона о контрактной системе не обязывает Заказчика отказаться от объективно необходимого товара или изменить медицинскую потребность только потому, что среди отечественных аналогов отсутствует продукция, соответствующая такой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Национальный режим не отменяет право Заказчика приобрести товар, необходимый для оказания медицинской помощи и обеспечения безопасности персонала и пациентов.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Закон о контрактной системе направлен на удовлетворение государственных и муниципальных нужд. Национальный режим применяется в этих пределах и не </w:t>
      </w:r>
      <w:r w:rsidRPr="009D4375">
        <w:rPr>
          <w:sz w:val="26"/>
          <w:szCs w:val="26"/>
        </w:rPr>
        <w:lastRenderedPageBreak/>
        <w:t>может толковаться как обязанность закупать товар, который не соответствует установленным функциональным, техническим и эксплуатационным требованиям Заказчика.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Из материалов дела следует, что Заказчиком сформировано уведомление об отсутствии закупаемого товара в реестре российской промышленной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Уведомление сформировано системой ГИСП. В нем указано, что по продукции «Перчатки смотровые/процедурные нитриловые, неопудренные, нестерильные» с кодом ОКПД2 22.19.60.119 найдено 39 аналогов российского производства. При этом Заказчиком подтверждено, что среди подобранных аналогов российского производства отсутствует продукция, соответствующая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Таким образом, материалы дела подтверждают, что Заказчик не проигнорировал национальный режим, а проверил наличие продукции российского происхождения, соответствующей установленной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Само по себе наличие в реестре российской промышленной продукции однородных медицинских перчаток не означает, что такие товары соответствуют объекту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Однородность товара и соответствие конкретному описанию объекта закупки являются разными юридическими и фактическими категориями.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Однородный товар может иметь сходное назначение, но не обладать необходимой длиной, толщиной, видом отделки, защитными свойствами, внутренним покрытием, возможностью оперативного извлечения за манжету либо иными характеристиками, которые Заказчик обосновал применительно к своей медицинской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Поэтому довод Заявителя о том, что наличие однородных российских перчаток автоматически делает описание объекта закупки незаконным, является несостоятельным.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в печатной форме извещения Заказчик установил применение национального режима по статье 14 Закона о контрактной системе. В отношении каждой позиции объекта закупки указан вид требования: ограничение закупок товаров, происходящих из иностранных государств, выполняемых работ, оказываемых услуг иностранными лицами.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Следовательно, довод о неприменении Заказчиком Постановления № 1875 не подтверждается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Заказчик установил именно ту меру национального режима, которая предусмотрена Постановлением № 1875 для соответствующей группы товаров, включенной в приложение № 2.</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фактически ставит вопрос не о том, установил ли Заказчик национальный режим, а о том, что Заказчик должен был изменить описание объекта закупки под товары российского происхождения, которые не соответствуют его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Такой подход не основан на Законе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отдельно отмечает, что уведомление об отсутствии закупаемого товара в реестре российской промышленной продукции не подтверждает нарушение Заказчика. Напротив, оно подтверждает, что Заказчик проверил наличие российской продукции, соответствующей описанию объекта закупки, и установил ее отсутствие.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lastRenderedPageBreak/>
        <w:t>При таких обстоятельствах отсутствие в реестре российского товара, соответствующего спорной совокупности характеристик, само по себе не свидетельствует о незаконности описания объекта закупки.</w:t>
      </w:r>
    </w:p>
    <w:p w:rsidR="009D4375" w:rsidRPr="009D4375" w:rsidRDefault="009D4375" w:rsidP="00A2609B">
      <w:pPr>
        <w:widowControl w:val="0"/>
        <w:autoSpaceDE w:val="0"/>
        <w:autoSpaceDN w:val="0"/>
        <w:adjustRightInd w:val="0"/>
        <w:ind w:firstLine="708"/>
        <w:jc w:val="both"/>
        <w:outlineLvl w:val="1"/>
        <w:rPr>
          <w:sz w:val="26"/>
          <w:szCs w:val="26"/>
        </w:rPr>
      </w:pPr>
      <w:r w:rsidRPr="009D4375">
        <w:rPr>
          <w:sz w:val="26"/>
          <w:szCs w:val="26"/>
        </w:rPr>
        <w:t>Для признания жалобы обоснованной Заявитель должен доказать, что спорные характеристики не связаны с объективной потребностью Заказчика,</w:t>
      </w:r>
      <w:r w:rsidR="00A2609B">
        <w:rPr>
          <w:sz w:val="26"/>
          <w:szCs w:val="26"/>
        </w:rPr>
        <w:t xml:space="preserve"> </w:t>
      </w:r>
      <w:r w:rsidRPr="009D4375">
        <w:rPr>
          <w:sz w:val="26"/>
          <w:szCs w:val="26"/>
        </w:rPr>
        <w:t>являются избыточными либо сформированы под товар конкретного производителя без возможности поставки эквивалентной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Такие доказательства Заявителем не представлены.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Ссылки Заявителя на отдельные решения антимонопольных органов по иным закупкам не могут быть приняты Комиссией УФАС в качестве доказательства нарушения в рассматриваемом деле.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Каждая закупка оценивается с учетом ее предмета, условий извещения, конкретных характеристик товара, обоснований Заказчика и представленных доказательств.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Административная практика по иным делам не освобождает Заявителя от обязанности подтвердить наличие нарушения именно в спорной закупке.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материалы дела подтверждают, что Заказчик описал объект закупки с использованием позиции КТРУ, установил дополнительные характеристики с обоснованием их необходимости, применил национальный режим по Постановлению № 1875, а также проверил наличие российского товара, соответствующего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спорные характеристики связаны с медицинским назначением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Требование о возможности оперативного извлечения перчаток за манжету направлено на исключение контакта с упаковкой и другими перчатками и снижение риска контаминации поверхности перчаток. Такое требование связано с профилактикой контактного пути распространения инфекции.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Требование к внутреннему покрытию, контрастному по отношению к крови и наружному слою перчатки, связано с возможностью своевременно выявить повреждение перчатки и снизить риск инфицирования персонала при контакте с биологическими жидкостями.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Требование к отсутствию смазки, полимерного и синтетического покрытия и биологически активных добавок связано с профилактикой аллергических реакций на компоненты покрытия.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Требования к удлиненной манжете связаны с защитой предплечья медицинского персонала при работе с дезинфицирующими средствами, медицинским инструментарием, оборудованием и эндоскопами.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Указанные требования не носят декоративный или произвольный характер. Они направлены на обеспечение безопасности медицинской деятельности.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исходит из того, что Заказчик медицинской организации обладает правом определить уровень защиты медицинского персонала и пациентов при условии, что такие требования раскрыты в извещении и имеют разумную связь с предметом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настоящем случае такая связь установлена.</w:t>
      </w:r>
    </w:p>
    <w:p w:rsidR="009D4375" w:rsidRPr="009D4375" w:rsidRDefault="009D4375" w:rsidP="00A2609B">
      <w:pPr>
        <w:widowControl w:val="0"/>
        <w:autoSpaceDE w:val="0"/>
        <w:autoSpaceDN w:val="0"/>
        <w:adjustRightInd w:val="0"/>
        <w:ind w:firstLine="708"/>
        <w:jc w:val="both"/>
        <w:outlineLvl w:val="1"/>
        <w:rPr>
          <w:sz w:val="26"/>
          <w:szCs w:val="26"/>
        </w:rPr>
      </w:pPr>
      <w:r w:rsidRPr="009D4375">
        <w:rPr>
          <w:sz w:val="26"/>
          <w:szCs w:val="26"/>
        </w:rPr>
        <w:t xml:space="preserve">Заявитель не представил доказательств того, что спорные требования невозможно исполнить в принципе, что они не влияют на безопасность иэксплуатационные свойства товара либо что они введены исключительно для </w:t>
      </w:r>
      <w:r w:rsidRPr="009D4375">
        <w:rPr>
          <w:sz w:val="26"/>
          <w:szCs w:val="26"/>
        </w:rPr>
        <w:lastRenderedPageBreak/>
        <w:t>ограничения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Заявитель не представил доказательств, что совокупности характеристик соответствует товар единственного производителя. Указание на отсутствие российского товара, соответствующего описанию объекта закупки, не равнозначно доказательству отсутствия конкуренции на рынке поставки соответствующих медицинских изделий.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отмечает, что Закон о контрактной системе обеспечивает конкуренцию между участниками закупки, а не гарантирует каждому поставщику возможность поставить именно тот товар, который имеется у него в обороте.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Невозможность конкретного участника предложить товар, соответствующий потребности Заказчика, сама по себе не свидетельствует об ограничении конкуренции.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Ограничением является установление необъективных, избыточных или недоказанных требований. </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такие обстоятельства материалами дела не подтверждены.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Заявителя о нарушении статьи 8 Закона о контрактной системе также не нашел подтверждения.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Статья 8 Закона о контрактной системе закрепляет принцип обеспечения конкуренции. При этом указанный принцип реализуется с учетом иных норм Закона о контрактной системе, включая право Заказчика определить функциональные, технические, качественные и эксплуатационные характеристики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Материалы дела не подтверждают совершение Заказчиком действий, направленных на необоснованное ограничение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о нарушении пункта 2 части 1 статьи 17 Федерального закона от 26.07.2006 № 135-ФЗ «О защите конкуренции» (далее — Закон о защите конкуренции) также не подтверждается.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Для вывода о создании преимущественных условий участия необходимо установить, что условия закупки объективно предоставляют преимущество конкретному участнику или группе участников. Заявитель таких доказательств не представил.</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Описание объекта закупки сформировано через характеристики товара, а не через указание на конкретного поставщика, производителя, товарный знак либо индивидуализирующие признаки конкретной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Комиссия УФАС приходит к выводу, что доводы жалобы не подтверждены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действиях Заказчика не установлено нарушение пункта 1 части 2 статьи 42 Закона о контрактной системе во взаимосвязи с пунктами 1, 2 и частью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не установлено нарушение пункта 15 части 1 статьи 42 Закона о контрактной системе, поскольку национальный режим по Постановлению</w:t>
      </w:r>
      <w:r w:rsidRPr="009D4375">
        <w:rPr>
          <w:sz w:val="26"/>
          <w:szCs w:val="26"/>
        </w:rPr>
        <w:br/>
        <w:t>№ 1875 в извещении установлен.</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Оснований для вывода о нарушении статьи 8 Закона о контрактной системе и пункта 2 части 1 статьи 17 Закона о защите конкуренции Комиссия УФАС не установила.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Жалоба ООО «МЕДПОСТАВЩИК» является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Основания для выдачи предписания отсутствуют.</w:t>
      </w:r>
    </w:p>
    <w:p w:rsidR="00977E8D" w:rsidRPr="00AC7CC6" w:rsidRDefault="0096586C" w:rsidP="00FC06FB">
      <w:pPr>
        <w:widowControl w:val="0"/>
        <w:autoSpaceDE w:val="0"/>
        <w:autoSpaceDN w:val="0"/>
        <w:adjustRightInd w:val="0"/>
        <w:ind w:firstLine="708"/>
        <w:jc w:val="both"/>
        <w:outlineLvl w:val="1"/>
        <w:rPr>
          <w:sz w:val="26"/>
          <w:szCs w:val="26"/>
        </w:rPr>
      </w:pPr>
      <w:r w:rsidRPr="00AC7CC6">
        <w:rPr>
          <w:sz w:val="26"/>
          <w:szCs w:val="26"/>
        </w:rPr>
        <w:lastRenderedPageBreak/>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6F224C" w:rsidRPr="006E7705" w:rsidRDefault="006F224C" w:rsidP="006F224C">
      <w:pPr>
        <w:autoSpaceDE w:val="0"/>
        <w:autoSpaceDN w:val="0"/>
        <w:adjustRightInd w:val="0"/>
        <w:ind w:firstLine="708"/>
        <w:jc w:val="both"/>
        <w:outlineLvl w:val="1"/>
        <w:rPr>
          <w:color w:val="000000"/>
          <w:sz w:val="26"/>
          <w:szCs w:val="26"/>
        </w:rPr>
      </w:pPr>
      <w:r w:rsidRPr="006E7705">
        <w:rPr>
          <w:color w:val="000000"/>
          <w:sz w:val="26"/>
          <w:szCs w:val="26"/>
        </w:rPr>
        <w:t xml:space="preserve"> Признать жалобу </w:t>
      </w:r>
      <w:r w:rsidRPr="004679DF">
        <w:rPr>
          <w:sz w:val="26"/>
          <w:szCs w:val="26"/>
        </w:rPr>
        <w:t>ООО «</w:t>
      </w:r>
      <w:r w:rsidR="00A2609B" w:rsidRPr="009D4375">
        <w:rPr>
          <w:iCs/>
          <w:sz w:val="26"/>
          <w:szCs w:val="26"/>
        </w:rPr>
        <w:t>МЕДПОСТАВЩИК</w:t>
      </w:r>
      <w:r w:rsidRPr="004679DF">
        <w:rPr>
          <w:sz w:val="26"/>
          <w:szCs w:val="26"/>
        </w:rPr>
        <w:t>»</w:t>
      </w:r>
      <w:r>
        <w:rPr>
          <w:sz w:val="26"/>
          <w:szCs w:val="26"/>
        </w:rPr>
        <w:t xml:space="preserve"> не</w:t>
      </w:r>
      <w:r>
        <w:rPr>
          <w:color w:val="000000"/>
          <w:sz w:val="26"/>
          <w:szCs w:val="26"/>
        </w:rPr>
        <w:t>обоснованной</w:t>
      </w:r>
      <w:r w:rsidRPr="006E7705">
        <w:rPr>
          <w:color w:val="000000"/>
          <w:sz w:val="26"/>
          <w:szCs w:val="26"/>
        </w:rPr>
        <w:t>.</w:t>
      </w:r>
    </w:p>
    <w:p w:rsidR="00AC7CC6" w:rsidRDefault="008D26D0" w:rsidP="0096586C">
      <w:pPr>
        <w:widowControl w:val="0"/>
        <w:ind w:firstLine="708"/>
        <w:rPr>
          <w:sz w:val="26"/>
          <w:szCs w:val="26"/>
        </w:rPr>
      </w:pPr>
      <w:r>
        <w:rPr>
          <w:sz w:val="26"/>
          <w:szCs w:val="26"/>
        </w:rPr>
        <w:t xml:space="preserve"> </w:t>
      </w: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04D" w:rsidRDefault="0085604D">
      <w:r>
        <w:separator/>
      </w:r>
    </w:p>
  </w:endnote>
  <w:endnote w:type="continuationSeparator" w:id="0">
    <w:p w:rsidR="0085604D" w:rsidRDefault="0085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04D" w:rsidRDefault="0085604D">
      <w:r>
        <w:separator/>
      </w:r>
    </w:p>
  </w:footnote>
  <w:footnote w:type="continuationSeparator" w:id="0">
    <w:p w:rsidR="0085604D" w:rsidRDefault="00856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85604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D26D0">
      <w:rPr>
        <w:rStyle w:val="a5"/>
        <w:noProof/>
      </w:rPr>
      <w:t>10</w:t>
    </w:r>
    <w:r>
      <w:rPr>
        <w:rStyle w:val="a5"/>
      </w:rPr>
      <w:fldChar w:fldCharType="end"/>
    </w:r>
  </w:p>
  <w:p w:rsidR="004D47F0" w:rsidRDefault="008560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4A8A"/>
    <w:rsid w:val="00040C16"/>
    <w:rsid w:val="00042DD1"/>
    <w:rsid w:val="00071971"/>
    <w:rsid w:val="00086FC7"/>
    <w:rsid w:val="000B4709"/>
    <w:rsid w:val="000C0D48"/>
    <w:rsid w:val="000F609D"/>
    <w:rsid w:val="00151A1B"/>
    <w:rsid w:val="00156C79"/>
    <w:rsid w:val="00157851"/>
    <w:rsid w:val="0016120F"/>
    <w:rsid w:val="0017661B"/>
    <w:rsid w:val="0019676D"/>
    <w:rsid w:val="001A58C9"/>
    <w:rsid w:val="001B1665"/>
    <w:rsid w:val="001B6F15"/>
    <w:rsid w:val="001C0737"/>
    <w:rsid w:val="001E04B4"/>
    <w:rsid w:val="001E4D2A"/>
    <w:rsid w:val="001F5BE5"/>
    <w:rsid w:val="00205FCE"/>
    <w:rsid w:val="00226447"/>
    <w:rsid w:val="00230FE9"/>
    <w:rsid w:val="0028597F"/>
    <w:rsid w:val="00286CB8"/>
    <w:rsid w:val="002965B4"/>
    <w:rsid w:val="002A103E"/>
    <w:rsid w:val="002A7DC8"/>
    <w:rsid w:val="002B67DA"/>
    <w:rsid w:val="002B6E8C"/>
    <w:rsid w:val="002E2BEF"/>
    <w:rsid w:val="002F00CE"/>
    <w:rsid w:val="00326163"/>
    <w:rsid w:val="003272FE"/>
    <w:rsid w:val="003602C7"/>
    <w:rsid w:val="00372A5B"/>
    <w:rsid w:val="00382CFA"/>
    <w:rsid w:val="00387633"/>
    <w:rsid w:val="003927F7"/>
    <w:rsid w:val="003C68A2"/>
    <w:rsid w:val="0041704D"/>
    <w:rsid w:val="00443428"/>
    <w:rsid w:val="00443C92"/>
    <w:rsid w:val="0046343D"/>
    <w:rsid w:val="004759A8"/>
    <w:rsid w:val="00475E2F"/>
    <w:rsid w:val="004A19D6"/>
    <w:rsid w:val="004B07CD"/>
    <w:rsid w:val="004B6CA1"/>
    <w:rsid w:val="004C4A44"/>
    <w:rsid w:val="00506D89"/>
    <w:rsid w:val="005329F8"/>
    <w:rsid w:val="005450B9"/>
    <w:rsid w:val="0055353A"/>
    <w:rsid w:val="00566503"/>
    <w:rsid w:val="005B0CC3"/>
    <w:rsid w:val="005E0EBA"/>
    <w:rsid w:val="00613A82"/>
    <w:rsid w:val="00621FC4"/>
    <w:rsid w:val="006333A5"/>
    <w:rsid w:val="00637DFC"/>
    <w:rsid w:val="00645483"/>
    <w:rsid w:val="00652598"/>
    <w:rsid w:val="0067078C"/>
    <w:rsid w:val="00683B4E"/>
    <w:rsid w:val="006B2B61"/>
    <w:rsid w:val="006B6D4B"/>
    <w:rsid w:val="006E0821"/>
    <w:rsid w:val="006F224C"/>
    <w:rsid w:val="006F7D8B"/>
    <w:rsid w:val="007045B6"/>
    <w:rsid w:val="0070497B"/>
    <w:rsid w:val="00705348"/>
    <w:rsid w:val="00720688"/>
    <w:rsid w:val="0073322A"/>
    <w:rsid w:val="00761F34"/>
    <w:rsid w:val="00794B7B"/>
    <w:rsid w:val="007A4144"/>
    <w:rsid w:val="007B6097"/>
    <w:rsid w:val="007C08BB"/>
    <w:rsid w:val="007D3B37"/>
    <w:rsid w:val="00836362"/>
    <w:rsid w:val="00847BDC"/>
    <w:rsid w:val="0085604D"/>
    <w:rsid w:val="0085621B"/>
    <w:rsid w:val="00881079"/>
    <w:rsid w:val="008934D4"/>
    <w:rsid w:val="008941ED"/>
    <w:rsid w:val="008A4364"/>
    <w:rsid w:val="008C1E3A"/>
    <w:rsid w:val="008D26D0"/>
    <w:rsid w:val="008D521E"/>
    <w:rsid w:val="008E645A"/>
    <w:rsid w:val="008F7CA1"/>
    <w:rsid w:val="0093286D"/>
    <w:rsid w:val="00960BA7"/>
    <w:rsid w:val="0096586C"/>
    <w:rsid w:val="00977E8D"/>
    <w:rsid w:val="00983C48"/>
    <w:rsid w:val="0098477A"/>
    <w:rsid w:val="00986FE8"/>
    <w:rsid w:val="009A37B6"/>
    <w:rsid w:val="009C77C4"/>
    <w:rsid w:val="009D4375"/>
    <w:rsid w:val="00A1602A"/>
    <w:rsid w:val="00A16BC3"/>
    <w:rsid w:val="00A2609B"/>
    <w:rsid w:val="00A27124"/>
    <w:rsid w:val="00A51C32"/>
    <w:rsid w:val="00A546F0"/>
    <w:rsid w:val="00A55848"/>
    <w:rsid w:val="00AC7CC6"/>
    <w:rsid w:val="00B21179"/>
    <w:rsid w:val="00B255F1"/>
    <w:rsid w:val="00B435B0"/>
    <w:rsid w:val="00BB22E4"/>
    <w:rsid w:val="00BB30E6"/>
    <w:rsid w:val="00BC6204"/>
    <w:rsid w:val="00BF10F7"/>
    <w:rsid w:val="00BF2BDE"/>
    <w:rsid w:val="00C15D2E"/>
    <w:rsid w:val="00C20C2E"/>
    <w:rsid w:val="00C44742"/>
    <w:rsid w:val="00C918C8"/>
    <w:rsid w:val="00C95778"/>
    <w:rsid w:val="00CE15DB"/>
    <w:rsid w:val="00D14C89"/>
    <w:rsid w:val="00D21568"/>
    <w:rsid w:val="00D36631"/>
    <w:rsid w:val="00D760D3"/>
    <w:rsid w:val="00D95313"/>
    <w:rsid w:val="00DA27B4"/>
    <w:rsid w:val="00DD5E11"/>
    <w:rsid w:val="00E168B8"/>
    <w:rsid w:val="00E7143D"/>
    <w:rsid w:val="00E76D80"/>
    <w:rsid w:val="00E93102"/>
    <w:rsid w:val="00EA53CC"/>
    <w:rsid w:val="00EB1191"/>
    <w:rsid w:val="00EC2561"/>
    <w:rsid w:val="00EC605C"/>
    <w:rsid w:val="00EE0859"/>
    <w:rsid w:val="00F04A17"/>
    <w:rsid w:val="00F15053"/>
    <w:rsid w:val="00F6094C"/>
    <w:rsid w:val="00F60C45"/>
    <w:rsid w:val="00F60E32"/>
    <w:rsid w:val="00F879C3"/>
    <w:rsid w:val="00F94E78"/>
    <w:rsid w:val="00FC06FB"/>
    <w:rsid w:val="00FC3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 w:type="paragraph" w:styleId="ab">
    <w:name w:val="Normal (Web)"/>
    <w:basedOn w:val="a"/>
    <w:uiPriority w:val="99"/>
    <w:semiHidden/>
    <w:unhideWhenUsed/>
    <w:rsid w:val="009D4375"/>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14582">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45569502">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143358258">
      <w:bodyDiv w:val="1"/>
      <w:marLeft w:val="0"/>
      <w:marRight w:val="0"/>
      <w:marTop w:val="0"/>
      <w:marBottom w:val="0"/>
      <w:divBdr>
        <w:top w:val="none" w:sz="0" w:space="0" w:color="auto"/>
        <w:left w:val="none" w:sz="0" w:space="0" w:color="auto"/>
        <w:bottom w:val="none" w:sz="0" w:space="0" w:color="auto"/>
        <w:right w:val="none" w:sz="0" w:space="0" w:color="auto"/>
      </w:divBdr>
    </w:div>
    <w:div w:id="167982953">
      <w:bodyDiv w:val="1"/>
      <w:marLeft w:val="0"/>
      <w:marRight w:val="0"/>
      <w:marTop w:val="0"/>
      <w:marBottom w:val="0"/>
      <w:divBdr>
        <w:top w:val="none" w:sz="0" w:space="0" w:color="auto"/>
        <w:left w:val="none" w:sz="0" w:space="0" w:color="auto"/>
        <w:bottom w:val="none" w:sz="0" w:space="0" w:color="auto"/>
        <w:right w:val="none" w:sz="0" w:space="0" w:color="auto"/>
      </w:divBdr>
    </w:div>
    <w:div w:id="182403870">
      <w:bodyDiv w:val="1"/>
      <w:marLeft w:val="0"/>
      <w:marRight w:val="0"/>
      <w:marTop w:val="0"/>
      <w:marBottom w:val="0"/>
      <w:divBdr>
        <w:top w:val="none" w:sz="0" w:space="0" w:color="auto"/>
        <w:left w:val="none" w:sz="0" w:space="0" w:color="auto"/>
        <w:bottom w:val="none" w:sz="0" w:space="0" w:color="auto"/>
        <w:right w:val="none" w:sz="0" w:space="0" w:color="auto"/>
      </w:divBdr>
    </w:div>
    <w:div w:id="216668564">
      <w:bodyDiv w:val="1"/>
      <w:marLeft w:val="0"/>
      <w:marRight w:val="0"/>
      <w:marTop w:val="0"/>
      <w:marBottom w:val="0"/>
      <w:divBdr>
        <w:top w:val="none" w:sz="0" w:space="0" w:color="auto"/>
        <w:left w:val="none" w:sz="0" w:space="0" w:color="auto"/>
        <w:bottom w:val="none" w:sz="0" w:space="0" w:color="auto"/>
        <w:right w:val="none" w:sz="0" w:space="0" w:color="auto"/>
      </w:divBdr>
    </w:div>
    <w:div w:id="261185902">
      <w:bodyDiv w:val="1"/>
      <w:marLeft w:val="0"/>
      <w:marRight w:val="0"/>
      <w:marTop w:val="0"/>
      <w:marBottom w:val="0"/>
      <w:divBdr>
        <w:top w:val="none" w:sz="0" w:space="0" w:color="auto"/>
        <w:left w:val="none" w:sz="0" w:space="0" w:color="auto"/>
        <w:bottom w:val="none" w:sz="0" w:space="0" w:color="auto"/>
        <w:right w:val="none" w:sz="0" w:space="0" w:color="auto"/>
      </w:divBdr>
    </w:div>
    <w:div w:id="333924992">
      <w:bodyDiv w:val="1"/>
      <w:marLeft w:val="0"/>
      <w:marRight w:val="0"/>
      <w:marTop w:val="0"/>
      <w:marBottom w:val="0"/>
      <w:divBdr>
        <w:top w:val="none" w:sz="0" w:space="0" w:color="auto"/>
        <w:left w:val="none" w:sz="0" w:space="0" w:color="auto"/>
        <w:bottom w:val="none" w:sz="0" w:space="0" w:color="auto"/>
        <w:right w:val="none" w:sz="0" w:space="0" w:color="auto"/>
      </w:divBdr>
    </w:div>
    <w:div w:id="360399609">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24308059">
      <w:bodyDiv w:val="1"/>
      <w:marLeft w:val="0"/>
      <w:marRight w:val="0"/>
      <w:marTop w:val="0"/>
      <w:marBottom w:val="0"/>
      <w:divBdr>
        <w:top w:val="none" w:sz="0" w:space="0" w:color="auto"/>
        <w:left w:val="none" w:sz="0" w:space="0" w:color="auto"/>
        <w:bottom w:val="none" w:sz="0" w:space="0" w:color="auto"/>
        <w:right w:val="none" w:sz="0" w:space="0" w:color="auto"/>
      </w:divBdr>
    </w:div>
    <w:div w:id="441606660">
      <w:bodyDiv w:val="1"/>
      <w:marLeft w:val="0"/>
      <w:marRight w:val="0"/>
      <w:marTop w:val="0"/>
      <w:marBottom w:val="0"/>
      <w:divBdr>
        <w:top w:val="none" w:sz="0" w:space="0" w:color="auto"/>
        <w:left w:val="none" w:sz="0" w:space="0" w:color="auto"/>
        <w:bottom w:val="none" w:sz="0" w:space="0" w:color="auto"/>
        <w:right w:val="none" w:sz="0" w:space="0" w:color="auto"/>
      </w:divBdr>
    </w:div>
    <w:div w:id="446773606">
      <w:bodyDiv w:val="1"/>
      <w:marLeft w:val="0"/>
      <w:marRight w:val="0"/>
      <w:marTop w:val="0"/>
      <w:marBottom w:val="0"/>
      <w:divBdr>
        <w:top w:val="none" w:sz="0" w:space="0" w:color="auto"/>
        <w:left w:val="none" w:sz="0" w:space="0" w:color="auto"/>
        <w:bottom w:val="none" w:sz="0" w:space="0" w:color="auto"/>
        <w:right w:val="none" w:sz="0" w:space="0" w:color="auto"/>
      </w:divBdr>
    </w:div>
    <w:div w:id="449252562">
      <w:bodyDiv w:val="1"/>
      <w:marLeft w:val="0"/>
      <w:marRight w:val="0"/>
      <w:marTop w:val="0"/>
      <w:marBottom w:val="0"/>
      <w:divBdr>
        <w:top w:val="none" w:sz="0" w:space="0" w:color="auto"/>
        <w:left w:val="none" w:sz="0" w:space="0" w:color="auto"/>
        <w:bottom w:val="none" w:sz="0" w:space="0" w:color="auto"/>
        <w:right w:val="none" w:sz="0" w:space="0" w:color="auto"/>
      </w:divBdr>
    </w:div>
    <w:div w:id="453061854">
      <w:bodyDiv w:val="1"/>
      <w:marLeft w:val="0"/>
      <w:marRight w:val="0"/>
      <w:marTop w:val="0"/>
      <w:marBottom w:val="0"/>
      <w:divBdr>
        <w:top w:val="none" w:sz="0" w:space="0" w:color="auto"/>
        <w:left w:val="none" w:sz="0" w:space="0" w:color="auto"/>
        <w:bottom w:val="none" w:sz="0" w:space="0" w:color="auto"/>
        <w:right w:val="none" w:sz="0" w:space="0" w:color="auto"/>
      </w:divBdr>
    </w:div>
    <w:div w:id="486433549">
      <w:bodyDiv w:val="1"/>
      <w:marLeft w:val="0"/>
      <w:marRight w:val="0"/>
      <w:marTop w:val="0"/>
      <w:marBottom w:val="0"/>
      <w:divBdr>
        <w:top w:val="none" w:sz="0" w:space="0" w:color="auto"/>
        <w:left w:val="none" w:sz="0" w:space="0" w:color="auto"/>
        <w:bottom w:val="none" w:sz="0" w:space="0" w:color="auto"/>
        <w:right w:val="none" w:sz="0" w:space="0" w:color="auto"/>
      </w:divBdr>
    </w:div>
    <w:div w:id="499008101">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73517021">
      <w:bodyDiv w:val="1"/>
      <w:marLeft w:val="0"/>
      <w:marRight w:val="0"/>
      <w:marTop w:val="0"/>
      <w:marBottom w:val="0"/>
      <w:divBdr>
        <w:top w:val="none" w:sz="0" w:space="0" w:color="auto"/>
        <w:left w:val="none" w:sz="0" w:space="0" w:color="auto"/>
        <w:bottom w:val="none" w:sz="0" w:space="0" w:color="auto"/>
        <w:right w:val="none" w:sz="0" w:space="0" w:color="auto"/>
      </w:divBdr>
    </w:div>
    <w:div w:id="577717703">
      <w:bodyDiv w:val="1"/>
      <w:marLeft w:val="0"/>
      <w:marRight w:val="0"/>
      <w:marTop w:val="0"/>
      <w:marBottom w:val="0"/>
      <w:divBdr>
        <w:top w:val="none" w:sz="0" w:space="0" w:color="auto"/>
        <w:left w:val="none" w:sz="0" w:space="0" w:color="auto"/>
        <w:bottom w:val="none" w:sz="0" w:space="0" w:color="auto"/>
        <w:right w:val="none" w:sz="0" w:space="0" w:color="auto"/>
      </w:divBdr>
    </w:div>
    <w:div w:id="638613073">
      <w:bodyDiv w:val="1"/>
      <w:marLeft w:val="0"/>
      <w:marRight w:val="0"/>
      <w:marTop w:val="0"/>
      <w:marBottom w:val="0"/>
      <w:divBdr>
        <w:top w:val="none" w:sz="0" w:space="0" w:color="auto"/>
        <w:left w:val="none" w:sz="0" w:space="0" w:color="auto"/>
        <w:bottom w:val="none" w:sz="0" w:space="0" w:color="auto"/>
        <w:right w:val="none" w:sz="0" w:space="0" w:color="auto"/>
      </w:divBdr>
    </w:div>
    <w:div w:id="661858342">
      <w:bodyDiv w:val="1"/>
      <w:marLeft w:val="0"/>
      <w:marRight w:val="0"/>
      <w:marTop w:val="0"/>
      <w:marBottom w:val="0"/>
      <w:divBdr>
        <w:top w:val="none" w:sz="0" w:space="0" w:color="auto"/>
        <w:left w:val="none" w:sz="0" w:space="0" w:color="auto"/>
        <w:bottom w:val="none" w:sz="0" w:space="0" w:color="auto"/>
        <w:right w:val="none" w:sz="0" w:space="0" w:color="auto"/>
      </w:divBdr>
    </w:div>
    <w:div w:id="738819752">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777333281">
      <w:bodyDiv w:val="1"/>
      <w:marLeft w:val="0"/>
      <w:marRight w:val="0"/>
      <w:marTop w:val="0"/>
      <w:marBottom w:val="0"/>
      <w:divBdr>
        <w:top w:val="none" w:sz="0" w:space="0" w:color="auto"/>
        <w:left w:val="none" w:sz="0" w:space="0" w:color="auto"/>
        <w:bottom w:val="none" w:sz="0" w:space="0" w:color="auto"/>
        <w:right w:val="none" w:sz="0" w:space="0" w:color="auto"/>
      </w:divBdr>
    </w:div>
    <w:div w:id="784085347">
      <w:bodyDiv w:val="1"/>
      <w:marLeft w:val="0"/>
      <w:marRight w:val="0"/>
      <w:marTop w:val="0"/>
      <w:marBottom w:val="0"/>
      <w:divBdr>
        <w:top w:val="none" w:sz="0" w:space="0" w:color="auto"/>
        <w:left w:val="none" w:sz="0" w:space="0" w:color="auto"/>
        <w:bottom w:val="none" w:sz="0" w:space="0" w:color="auto"/>
        <w:right w:val="none" w:sz="0" w:space="0" w:color="auto"/>
      </w:divBdr>
    </w:div>
    <w:div w:id="871498648">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166480917">
      <w:bodyDiv w:val="1"/>
      <w:marLeft w:val="0"/>
      <w:marRight w:val="0"/>
      <w:marTop w:val="0"/>
      <w:marBottom w:val="0"/>
      <w:divBdr>
        <w:top w:val="none" w:sz="0" w:space="0" w:color="auto"/>
        <w:left w:val="none" w:sz="0" w:space="0" w:color="auto"/>
        <w:bottom w:val="none" w:sz="0" w:space="0" w:color="auto"/>
        <w:right w:val="none" w:sz="0" w:space="0" w:color="auto"/>
      </w:divBdr>
    </w:div>
    <w:div w:id="1213469334">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37782726">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364214466">
      <w:bodyDiv w:val="1"/>
      <w:marLeft w:val="0"/>
      <w:marRight w:val="0"/>
      <w:marTop w:val="0"/>
      <w:marBottom w:val="0"/>
      <w:divBdr>
        <w:top w:val="none" w:sz="0" w:space="0" w:color="auto"/>
        <w:left w:val="none" w:sz="0" w:space="0" w:color="auto"/>
        <w:bottom w:val="none" w:sz="0" w:space="0" w:color="auto"/>
        <w:right w:val="none" w:sz="0" w:space="0" w:color="auto"/>
      </w:divBdr>
    </w:div>
    <w:div w:id="1408845053">
      <w:bodyDiv w:val="1"/>
      <w:marLeft w:val="0"/>
      <w:marRight w:val="0"/>
      <w:marTop w:val="0"/>
      <w:marBottom w:val="0"/>
      <w:divBdr>
        <w:top w:val="none" w:sz="0" w:space="0" w:color="auto"/>
        <w:left w:val="none" w:sz="0" w:space="0" w:color="auto"/>
        <w:bottom w:val="none" w:sz="0" w:space="0" w:color="auto"/>
        <w:right w:val="none" w:sz="0" w:space="0" w:color="auto"/>
      </w:divBdr>
    </w:div>
    <w:div w:id="1440027823">
      <w:bodyDiv w:val="1"/>
      <w:marLeft w:val="0"/>
      <w:marRight w:val="0"/>
      <w:marTop w:val="0"/>
      <w:marBottom w:val="0"/>
      <w:divBdr>
        <w:top w:val="none" w:sz="0" w:space="0" w:color="auto"/>
        <w:left w:val="none" w:sz="0" w:space="0" w:color="auto"/>
        <w:bottom w:val="none" w:sz="0" w:space="0" w:color="auto"/>
        <w:right w:val="none" w:sz="0" w:space="0" w:color="auto"/>
      </w:divBdr>
    </w:div>
    <w:div w:id="1445921914">
      <w:bodyDiv w:val="1"/>
      <w:marLeft w:val="0"/>
      <w:marRight w:val="0"/>
      <w:marTop w:val="0"/>
      <w:marBottom w:val="0"/>
      <w:divBdr>
        <w:top w:val="none" w:sz="0" w:space="0" w:color="auto"/>
        <w:left w:val="none" w:sz="0" w:space="0" w:color="auto"/>
        <w:bottom w:val="none" w:sz="0" w:space="0" w:color="auto"/>
        <w:right w:val="none" w:sz="0" w:space="0" w:color="auto"/>
      </w:divBdr>
    </w:div>
    <w:div w:id="1447001842">
      <w:bodyDiv w:val="1"/>
      <w:marLeft w:val="0"/>
      <w:marRight w:val="0"/>
      <w:marTop w:val="0"/>
      <w:marBottom w:val="0"/>
      <w:divBdr>
        <w:top w:val="none" w:sz="0" w:space="0" w:color="auto"/>
        <w:left w:val="none" w:sz="0" w:space="0" w:color="auto"/>
        <w:bottom w:val="none" w:sz="0" w:space="0" w:color="auto"/>
        <w:right w:val="none" w:sz="0" w:space="0" w:color="auto"/>
      </w:divBdr>
    </w:div>
    <w:div w:id="1492408849">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579628620">
      <w:bodyDiv w:val="1"/>
      <w:marLeft w:val="0"/>
      <w:marRight w:val="0"/>
      <w:marTop w:val="0"/>
      <w:marBottom w:val="0"/>
      <w:divBdr>
        <w:top w:val="none" w:sz="0" w:space="0" w:color="auto"/>
        <w:left w:val="none" w:sz="0" w:space="0" w:color="auto"/>
        <w:bottom w:val="none" w:sz="0" w:space="0" w:color="auto"/>
        <w:right w:val="none" w:sz="0" w:space="0" w:color="auto"/>
      </w:divBdr>
    </w:div>
    <w:div w:id="1604922167">
      <w:bodyDiv w:val="1"/>
      <w:marLeft w:val="0"/>
      <w:marRight w:val="0"/>
      <w:marTop w:val="0"/>
      <w:marBottom w:val="0"/>
      <w:divBdr>
        <w:top w:val="none" w:sz="0" w:space="0" w:color="auto"/>
        <w:left w:val="none" w:sz="0" w:space="0" w:color="auto"/>
        <w:bottom w:val="none" w:sz="0" w:space="0" w:color="auto"/>
        <w:right w:val="none" w:sz="0" w:space="0" w:color="auto"/>
      </w:divBdr>
    </w:div>
    <w:div w:id="1700618719">
      <w:bodyDiv w:val="1"/>
      <w:marLeft w:val="0"/>
      <w:marRight w:val="0"/>
      <w:marTop w:val="0"/>
      <w:marBottom w:val="0"/>
      <w:divBdr>
        <w:top w:val="none" w:sz="0" w:space="0" w:color="auto"/>
        <w:left w:val="none" w:sz="0" w:space="0" w:color="auto"/>
        <w:bottom w:val="none" w:sz="0" w:space="0" w:color="auto"/>
        <w:right w:val="none" w:sz="0" w:space="0" w:color="auto"/>
      </w:divBdr>
    </w:div>
    <w:div w:id="1825008648">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879466967">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1914272496">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3801</Words>
  <Characters>21670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2023-06-28T13:17:00Z</cp:lastPrinted>
  <dcterms:created xsi:type="dcterms:W3CDTF">2026-10-19T15:54:00Z</dcterms:created>
  <dcterms:modified xsi:type="dcterms:W3CDTF">2026-10-19T15:54:00Z</dcterms:modified>
</cp:coreProperties>
</file>