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E6E" w:rsidRDefault="00367E6E">
      <w:pPr>
        <w:rPr>
          <w:sz w:val="26"/>
          <w:szCs w:val="26"/>
        </w:rPr>
      </w:pPr>
    </w:p>
    <w:p w:rsidR="00367E6E" w:rsidRDefault="008E6C87">
      <w:pPr>
        <w:pStyle w:val="3"/>
        <w:rPr>
          <w:sz w:val="24"/>
          <w:szCs w:val="24"/>
        </w:rPr>
      </w:pPr>
      <w:r>
        <w:rPr>
          <w:b/>
          <w:color w:val="000000"/>
          <w:sz w:val="24"/>
          <w:szCs w:val="24"/>
        </w:rPr>
        <w:t xml:space="preserve">РЕШЕНИЕ </w:t>
      </w:r>
    </w:p>
    <w:p w:rsidR="00367E6E" w:rsidRDefault="008E6C87">
      <w:pPr>
        <w:jc w:val="center"/>
        <w:rPr>
          <w:sz w:val="24"/>
          <w:szCs w:val="24"/>
        </w:rPr>
      </w:pPr>
      <w:r>
        <w:rPr>
          <w:color w:val="000000"/>
          <w:sz w:val="24"/>
          <w:szCs w:val="24"/>
        </w:rPr>
        <w:t>по делу № 023/06/105-4172/2026 о нарушении</w:t>
      </w:r>
    </w:p>
    <w:p w:rsidR="00367E6E" w:rsidRDefault="008E6C87">
      <w:pPr>
        <w:jc w:val="center"/>
        <w:rPr>
          <w:sz w:val="24"/>
          <w:szCs w:val="24"/>
        </w:rPr>
      </w:pPr>
      <w:r>
        <w:rPr>
          <w:color w:val="000000"/>
          <w:sz w:val="24"/>
          <w:szCs w:val="24"/>
        </w:rPr>
        <w:t>законодательства о контрактной системе в сфере закупок товаров, работ, услуг для обеспечения государственных и муниципальных нужд</w:t>
      </w:r>
    </w:p>
    <w:p w:rsidR="00367E6E" w:rsidRDefault="00367E6E">
      <w:pPr>
        <w:jc w:val="center"/>
        <w:rPr>
          <w:color w:val="000000"/>
          <w:sz w:val="24"/>
          <w:szCs w:val="24"/>
        </w:rPr>
      </w:pPr>
    </w:p>
    <w:p w:rsidR="00367E6E" w:rsidRDefault="008E6C87">
      <w:pPr>
        <w:rPr>
          <w:sz w:val="24"/>
          <w:szCs w:val="24"/>
        </w:rPr>
      </w:pPr>
      <w:r>
        <w:rPr>
          <w:color w:val="000000"/>
          <w:sz w:val="24"/>
          <w:szCs w:val="24"/>
        </w:rPr>
        <w:t xml:space="preserve">18 сентября 2026 года                   </w:t>
      </w:r>
      <w:r>
        <w:rPr>
          <w:color w:val="000000"/>
          <w:sz w:val="24"/>
          <w:szCs w:val="24"/>
        </w:rPr>
        <w:tab/>
      </w:r>
      <w:r>
        <w:rPr>
          <w:color w:val="000000"/>
          <w:sz w:val="24"/>
          <w:szCs w:val="24"/>
        </w:rPr>
        <w:tab/>
      </w:r>
      <w:r>
        <w:rPr>
          <w:color w:val="000000"/>
          <w:sz w:val="24"/>
          <w:szCs w:val="24"/>
        </w:rPr>
        <w:tab/>
      </w:r>
      <w:r>
        <w:rPr>
          <w:color w:val="000000"/>
          <w:sz w:val="24"/>
          <w:szCs w:val="24"/>
        </w:rPr>
        <w:t xml:space="preserve">                                           г. Краснодар</w:t>
      </w:r>
    </w:p>
    <w:p w:rsidR="00367E6E" w:rsidRDefault="00367E6E">
      <w:pPr>
        <w:jc w:val="center"/>
        <w:rPr>
          <w:color w:val="000000"/>
          <w:sz w:val="24"/>
          <w:szCs w:val="24"/>
        </w:rPr>
      </w:pPr>
    </w:p>
    <w:p w:rsidR="00367E6E" w:rsidRDefault="008E6C87">
      <w:pPr>
        <w:ind w:firstLine="709"/>
        <w:jc w:val="both"/>
        <w:rPr>
          <w:sz w:val="24"/>
          <w:szCs w:val="24"/>
        </w:rPr>
      </w:pPr>
      <w:r>
        <w:rPr>
          <w:sz w:val="24"/>
          <w:szCs w:val="24"/>
        </w:rPr>
        <w:t>рассмотрев жалобу ООО «НЬЮМЕН ТЕХНОЛО</w:t>
      </w:r>
      <w:r>
        <w:rPr>
          <w:sz w:val="24"/>
          <w:szCs w:val="24"/>
        </w:rPr>
        <w:t>ГИИ» (далее - Заявитель) на действия ГБУЗ «Городская больница города Анапы» МЗ КК, ГКУ КК «Дирекция государственных закупок» при проведении электронного аукциона: «Поставка медицинских изделий (Манжета кровоостанавливающая, одноразового использования)» (из</w:t>
      </w:r>
      <w:r>
        <w:rPr>
          <w:sz w:val="24"/>
          <w:szCs w:val="24"/>
        </w:rPr>
        <w:t xml:space="preserve">вещение № </w:t>
      </w:r>
      <w:r>
        <w:rPr>
          <w:color w:val="000000"/>
          <w:sz w:val="24"/>
          <w:szCs w:val="24"/>
        </w:rPr>
        <w:t>0818500000826006046</w:t>
      </w:r>
      <w:r>
        <w:rPr>
          <w:sz w:val="24"/>
          <w:szCs w:val="24"/>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67E6E" w:rsidRDefault="00367E6E">
      <w:pPr>
        <w:jc w:val="center"/>
        <w:rPr>
          <w:b/>
          <w:sz w:val="24"/>
          <w:szCs w:val="24"/>
        </w:rPr>
      </w:pPr>
    </w:p>
    <w:p w:rsidR="00367E6E" w:rsidRDefault="008E6C87">
      <w:pPr>
        <w:jc w:val="center"/>
        <w:rPr>
          <w:sz w:val="24"/>
          <w:szCs w:val="24"/>
        </w:rPr>
      </w:pPr>
      <w:r>
        <w:rPr>
          <w:b/>
          <w:sz w:val="24"/>
          <w:szCs w:val="24"/>
        </w:rPr>
        <w:t>УСТАНОВИЛА</w:t>
      </w:r>
      <w:r>
        <w:rPr>
          <w:b/>
          <w:sz w:val="24"/>
          <w:szCs w:val="24"/>
        </w:rPr>
        <w:t>:</w:t>
      </w:r>
    </w:p>
    <w:p w:rsidR="00367E6E" w:rsidRDefault="008E6C87">
      <w:pPr>
        <w:ind w:firstLine="709"/>
        <w:jc w:val="both"/>
        <w:rPr>
          <w:sz w:val="24"/>
          <w:szCs w:val="24"/>
        </w:rPr>
      </w:pPr>
      <w:r>
        <w:rPr>
          <w:sz w:val="24"/>
          <w:szCs w:val="24"/>
        </w:rPr>
        <w:t>В Управление Федеральной антимонопольной службы по Краснодарскому краю поступила жалоба Заявителя о</w:t>
      </w:r>
      <w:r>
        <w:rPr>
          <w:color w:val="000000"/>
          <w:sz w:val="24"/>
          <w:szCs w:val="24"/>
        </w:rPr>
        <w:t xml:space="preserve"> нарушении Закона о контрактной системе.</w:t>
      </w:r>
    </w:p>
    <w:p w:rsidR="00367E6E" w:rsidRDefault="008E6C87">
      <w:pPr>
        <w:ind w:firstLine="709"/>
        <w:jc w:val="both"/>
        <w:rPr>
          <w:color w:val="000000"/>
          <w:sz w:val="24"/>
          <w:szCs w:val="24"/>
        </w:rPr>
      </w:pPr>
      <w:r>
        <w:rPr>
          <w:rFonts w:eastAsia="Calibri"/>
          <w:color w:val="000000"/>
          <w:sz w:val="24"/>
          <w:szCs w:val="24"/>
        </w:rPr>
        <w:t xml:space="preserve">Заявитель указывает, </w:t>
      </w:r>
      <w:r>
        <w:rPr>
          <w:color w:val="000000"/>
          <w:sz w:val="24"/>
          <w:szCs w:val="24"/>
        </w:rPr>
        <w:t>что характеристика «Максимальный объём вводимого воздуха — 18 см³ (мл)» (пункт 2) является из</w:t>
      </w:r>
      <w:r>
        <w:rPr>
          <w:color w:val="000000"/>
          <w:sz w:val="24"/>
          <w:szCs w:val="24"/>
        </w:rPr>
        <w:t xml:space="preserve">быточно конкретной и ограничивает число участников закупки, поскольку данному значению соответствуют исключительно медицинские изделия отдельных иностранных производителей. </w:t>
      </w:r>
    </w:p>
    <w:p w:rsidR="00367E6E" w:rsidRDefault="008E6C87">
      <w:pPr>
        <w:ind w:firstLine="709"/>
        <w:jc w:val="both"/>
        <w:rPr>
          <w:color w:val="000000"/>
          <w:sz w:val="24"/>
          <w:szCs w:val="24"/>
        </w:rPr>
      </w:pPr>
      <w:r>
        <w:rPr>
          <w:color w:val="000000"/>
          <w:sz w:val="24"/>
          <w:szCs w:val="24"/>
        </w:rPr>
        <w:t xml:space="preserve">Уполномоченным учреждением, Заказчиком представлены письменные пояснения согласно </w:t>
      </w:r>
      <w:r>
        <w:rPr>
          <w:color w:val="000000"/>
          <w:sz w:val="24"/>
          <w:szCs w:val="24"/>
        </w:rPr>
        <w:t>которым с доводами жалобы не согласны</w:t>
      </w:r>
      <w:r>
        <w:rPr>
          <w:rFonts w:eastAsia="Calibri"/>
          <w:color w:val="000000"/>
          <w:sz w:val="24"/>
          <w:szCs w:val="24"/>
        </w:rPr>
        <w:t>.</w:t>
      </w:r>
    </w:p>
    <w:p w:rsidR="00367E6E" w:rsidRDefault="008E6C87">
      <w:pPr>
        <w:ind w:firstLine="709"/>
        <w:jc w:val="both"/>
        <w:rPr>
          <w:color w:val="000000"/>
          <w:sz w:val="24"/>
          <w:szCs w:val="24"/>
        </w:rPr>
      </w:pPr>
      <w:r>
        <w:rPr>
          <w:color w:val="000000"/>
          <w:sz w:val="24"/>
          <w:szCs w:val="24"/>
        </w:rPr>
        <w:t>Рассмотрев представленные материалы, Комиссия пришла к следующим выводам.</w:t>
      </w:r>
    </w:p>
    <w:p w:rsidR="00367E6E" w:rsidRDefault="008E6C87">
      <w:pPr>
        <w:ind w:firstLine="567"/>
        <w:jc w:val="both"/>
        <w:rPr>
          <w:color w:val="000000"/>
          <w:sz w:val="24"/>
          <w:szCs w:val="24"/>
        </w:rPr>
      </w:pPr>
      <w:r>
        <w:rPr>
          <w:color w:val="000000"/>
          <w:sz w:val="24"/>
          <w:szCs w:val="24"/>
        </w:rPr>
        <w:t>11.09.2026г. уполномоченным учреждением — ГКУ КК «Дирекция государственных закупок» размещено извещение на проведение электронного аукциона: «П</w:t>
      </w:r>
      <w:r>
        <w:rPr>
          <w:color w:val="000000"/>
          <w:sz w:val="24"/>
          <w:szCs w:val="24"/>
        </w:rPr>
        <w:t xml:space="preserve">оставка медицинских изделий (Манжета кровоостанавливающая, одноразового использования)» (извещение № </w:t>
      </w:r>
      <w:r>
        <w:rPr>
          <w:color w:val="000000"/>
          <w:sz w:val="24"/>
          <w:szCs w:val="24"/>
        </w:rPr>
        <w:t>0818500000826006046</w:t>
      </w:r>
      <w:r>
        <w:rPr>
          <w:color w:val="000000"/>
          <w:sz w:val="24"/>
          <w:szCs w:val="24"/>
        </w:rPr>
        <w:t>). Заказчик -  ГБУЗ «Городская больница города Анапы» МЗ КК.</w:t>
      </w:r>
    </w:p>
    <w:p w:rsidR="00367E6E" w:rsidRDefault="008E6C87">
      <w:pPr>
        <w:ind w:firstLine="567"/>
        <w:jc w:val="both"/>
        <w:rPr>
          <w:color w:val="000000"/>
          <w:sz w:val="24"/>
          <w:szCs w:val="24"/>
        </w:rPr>
      </w:pPr>
      <w:r>
        <w:rPr>
          <w:color w:val="000000"/>
          <w:sz w:val="24"/>
          <w:szCs w:val="24"/>
        </w:rPr>
        <w:t>Начальная (максимальная) цена контракта – 889 920,00</w:t>
      </w:r>
      <w:r>
        <w:rPr>
          <w:bCs/>
          <w:color w:val="000000"/>
          <w:sz w:val="24"/>
          <w:szCs w:val="24"/>
        </w:rPr>
        <w:t xml:space="preserve"> </w:t>
      </w:r>
      <w:r>
        <w:rPr>
          <w:color w:val="000000"/>
          <w:sz w:val="24"/>
          <w:szCs w:val="24"/>
        </w:rPr>
        <w:t xml:space="preserve">руб.  </w:t>
      </w:r>
    </w:p>
    <w:p w:rsidR="00367E6E" w:rsidRDefault="008E6C87">
      <w:pPr>
        <w:ind w:firstLine="567"/>
        <w:jc w:val="both"/>
        <w:rPr>
          <w:color w:val="000000"/>
          <w:sz w:val="24"/>
          <w:szCs w:val="24"/>
        </w:rPr>
      </w:pPr>
      <w:r>
        <w:rPr>
          <w:color w:val="000000"/>
          <w:sz w:val="24"/>
          <w:szCs w:val="24"/>
        </w:rPr>
        <w:t>На основании ч.</w:t>
      </w:r>
      <w:r>
        <w:rPr>
          <w:color w:val="000000"/>
          <w:sz w:val="24"/>
          <w:szCs w:val="24"/>
        </w:rPr>
        <w:t>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w:t>
      </w:r>
      <w:r>
        <w:rPr>
          <w:color w:val="000000"/>
          <w:sz w:val="24"/>
          <w:szCs w:val="24"/>
        </w:rPr>
        <w:t>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w:t>
      </w:r>
      <w:r>
        <w:rPr>
          <w:color w:val="000000"/>
          <w:sz w:val="24"/>
          <w:szCs w:val="24"/>
        </w:rPr>
        <w:t xml:space="preserve">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367E6E" w:rsidRDefault="008E6C87">
      <w:pPr>
        <w:ind w:firstLine="567"/>
        <w:jc w:val="both"/>
        <w:rPr>
          <w:color w:val="000000"/>
          <w:sz w:val="24"/>
          <w:szCs w:val="24"/>
        </w:rPr>
      </w:pPr>
      <w:r>
        <w:rPr>
          <w:color w:val="000000"/>
          <w:sz w:val="24"/>
          <w:szCs w:val="24"/>
        </w:rPr>
        <w:t>В соответствии с п.1) ч.2 ст.42</w:t>
      </w:r>
      <w:r>
        <w:rPr>
          <w:color w:val="000000"/>
          <w:sz w:val="24"/>
          <w:szCs w:val="24"/>
        </w:rPr>
        <w:t xml:space="preserve"> Закона о контрактной системе извещение, об осуществлении закупки, если иное не предусмотрено Законом о контрактной системе, должно содержать следующие электронные документы: </w:t>
      </w:r>
      <w:r>
        <w:rPr>
          <w:color w:val="000000"/>
          <w:sz w:val="24"/>
          <w:szCs w:val="24"/>
          <w:u w:val="single"/>
        </w:rPr>
        <w:t>описание объекта закупки в соответствии со статьей 33 Закона о контактной системе</w:t>
      </w:r>
      <w:r>
        <w:rPr>
          <w:color w:val="000000"/>
          <w:sz w:val="24"/>
          <w:szCs w:val="24"/>
          <w:u w:val="single"/>
        </w:rPr>
        <w:t xml:space="preserve">. </w:t>
      </w:r>
    </w:p>
    <w:p w:rsidR="00367E6E" w:rsidRDefault="008E6C87">
      <w:pPr>
        <w:ind w:firstLine="567"/>
        <w:jc w:val="both"/>
      </w:pPr>
      <w:r>
        <w:rPr>
          <w:color w:val="000000"/>
          <w:sz w:val="24"/>
          <w:szCs w:val="24"/>
        </w:rPr>
        <w:t xml:space="preserve">В силу п.1) ч.1 ст.33 Закона о контрактной системе </w:t>
      </w:r>
      <w:r>
        <w:rPr>
          <w:color w:val="000000"/>
          <w:sz w:val="24"/>
          <w:szCs w:val="24"/>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w:t>
      </w:r>
      <w:r>
        <w:rPr>
          <w:color w:val="000000"/>
          <w:sz w:val="24"/>
          <w:szCs w:val="24"/>
        </w:rPr>
        <w:t>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w:t>
      </w:r>
      <w:r>
        <w:rPr>
          <w:color w:val="000000"/>
          <w:sz w:val="24"/>
          <w:szCs w:val="24"/>
        </w:rPr>
        <w:t xml:space="preserve">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Pr>
          <w:color w:val="000000"/>
          <w:sz w:val="24"/>
          <w:szCs w:val="24"/>
        </w:rPr>
        <w:lastRenderedPageBreak/>
        <w:t xml:space="preserve">Допускается использование в описании объекта закупки указания </w:t>
      </w:r>
      <w:r>
        <w:rPr>
          <w:color w:val="000000"/>
          <w:sz w:val="24"/>
          <w:szCs w:val="24"/>
        </w:rPr>
        <w:t xml:space="preserve">на </w:t>
      </w:r>
      <w:hyperlink r:id="rId8" w:anchor="dst100014" w:history="1">
        <w:r>
          <w:rPr>
            <w:color w:val="000000"/>
            <w:sz w:val="24"/>
            <w:szCs w:val="24"/>
            <w:u w:val="single"/>
            <w:shd w:val="clear" w:color="auto" w:fill="FFFFFF"/>
          </w:rPr>
          <w:t>товарный знак</w:t>
        </w:r>
      </w:hyperlink>
      <w:r>
        <w:rPr>
          <w:color w:val="000000"/>
          <w:sz w:val="24"/>
          <w:szCs w:val="24"/>
        </w:rPr>
        <w:t xml:space="preserve"> в следующих случаях: </w:t>
      </w:r>
    </w:p>
    <w:p w:rsidR="00367E6E" w:rsidRDefault="008E6C87">
      <w:pPr>
        <w:ind w:firstLine="567"/>
        <w:jc w:val="both"/>
        <w:rPr>
          <w:color w:val="000000"/>
          <w:sz w:val="24"/>
          <w:szCs w:val="24"/>
        </w:rPr>
      </w:pPr>
      <w:r>
        <w:rPr>
          <w:color w:val="000000"/>
          <w:sz w:val="24"/>
          <w:szCs w:val="24"/>
        </w:rPr>
        <w:t>а) сопровождение такого указания словами "или эквивалент";</w:t>
      </w:r>
      <w:r>
        <w:rPr>
          <w:color w:val="000000"/>
          <w:sz w:val="24"/>
          <w:szCs w:val="24"/>
        </w:rPr>
        <w:t xml:space="preserve"> </w:t>
      </w:r>
    </w:p>
    <w:p w:rsidR="00367E6E" w:rsidRDefault="008E6C87">
      <w:pPr>
        <w:ind w:firstLine="567"/>
        <w:jc w:val="both"/>
        <w:rPr>
          <w:color w:val="000000"/>
          <w:sz w:val="24"/>
          <w:szCs w:val="24"/>
        </w:rPr>
      </w:pPr>
      <w:r>
        <w:rPr>
          <w:color w:val="000000"/>
          <w:sz w:val="24"/>
          <w:szCs w:val="24"/>
        </w:rPr>
        <w:t xml:space="preserve">б) несовместимость товаров, на </w:t>
      </w:r>
      <w:r>
        <w:rPr>
          <w:color w:val="000000"/>
          <w:sz w:val="24"/>
          <w:szCs w:val="24"/>
        </w:rPr>
        <w:t>которых размещаются другие товарные знаки, и необходимость обеспечения взаимодействия таких товаров с товарами, используемыми заказчиком;</w:t>
      </w:r>
      <w:r>
        <w:rPr>
          <w:color w:val="000000"/>
          <w:sz w:val="24"/>
          <w:szCs w:val="24"/>
        </w:rPr>
        <w:t xml:space="preserve"> </w:t>
      </w:r>
    </w:p>
    <w:p w:rsidR="00367E6E" w:rsidRDefault="008E6C87">
      <w:pPr>
        <w:ind w:firstLine="567"/>
        <w:jc w:val="both"/>
      </w:pPr>
      <w:r>
        <w:rPr>
          <w:color w:val="000000"/>
          <w:sz w:val="24"/>
          <w:szCs w:val="24"/>
        </w:rPr>
        <w:t xml:space="preserve">в) осуществление закупки запасных частей и расходных материалов к машинам и оборудованию, используемым заказчиком, в </w:t>
      </w:r>
      <w:r>
        <w:rPr>
          <w:color w:val="000000"/>
          <w:sz w:val="24"/>
          <w:szCs w:val="24"/>
        </w:rPr>
        <w:t>соответствии с </w:t>
      </w:r>
      <w:hyperlink r:id="rId9" w:anchor="dst100006" w:history="1">
        <w:r>
          <w:rPr>
            <w:color w:val="000000"/>
            <w:sz w:val="24"/>
            <w:szCs w:val="24"/>
            <w:shd w:val="clear" w:color="auto" w:fill="FFFFFF"/>
          </w:rPr>
          <w:t>технической документацией</w:t>
        </w:r>
      </w:hyperlink>
      <w:r>
        <w:rPr>
          <w:color w:val="000000"/>
          <w:sz w:val="24"/>
          <w:szCs w:val="24"/>
        </w:rPr>
        <w:t> </w:t>
      </w:r>
      <w:r>
        <w:rPr>
          <w:color w:val="000000"/>
          <w:sz w:val="24"/>
          <w:szCs w:val="24"/>
        </w:rPr>
        <w:t>на указанные машины и оборудование;</w:t>
      </w:r>
      <w:r>
        <w:rPr>
          <w:color w:val="000000"/>
          <w:sz w:val="24"/>
          <w:szCs w:val="24"/>
        </w:rPr>
        <w:t xml:space="preserve"> </w:t>
      </w:r>
    </w:p>
    <w:p w:rsidR="00367E6E" w:rsidRDefault="008E6C87">
      <w:pPr>
        <w:ind w:firstLine="567"/>
        <w:jc w:val="both"/>
      </w:pPr>
      <w:r>
        <w:rPr>
          <w:color w:val="000000"/>
          <w:sz w:val="24"/>
          <w:szCs w:val="24"/>
        </w:rPr>
        <w:t>г) осуществление закупки медицинских изделий, специализированных продуктов лечебного питания,</w:t>
      </w:r>
      <w:r>
        <w:rPr>
          <w:color w:val="000000"/>
          <w:sz w:val="24"/>
          <w:szCs w:val="24"/>
        </w:rPr>
        <w:t xml:space="preserve">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10" w:anchor="dst100006" w:history="1">
        <w:r>
          <w:rPr>
            <w:color w:val="000000"/>
            <w:sz w:val="24"/>
            <w:szCs w:val="24"/>
            <w:u w:val="single"/>
            <w:shd w:val="clear" w:color="auto" w:fill="FFFFFF"/>
          </w:rPr>
          <w:t>Перечень</w:t>
        </w:r>
      </w:hyperlink>
      <w:r>
        <w:rPr>
          <w:color w:val="000000"/>
          <w:sz w:val="24"/>
          <w:szCs w:val="24"/>
        </w:rPr>
        <w:t> </w:t>
      </w:r>
      <w:r>
        <w:rPr>
          <w:color w:val="000000"/>
          <w:sz w:val="24"/>
          <w:szCs w:val="24"/>
        </w:rPr>
        <w:t>указанных медицинских изделий, специализированных продуктов лечебного питания и </w:t>
      </w:r>
      <w:hyperlink r:id="rId11" w:anchor="dst100008" w:history="1">
        <w:r>
          <w:rPr>
            <w:color w:val="000000"/>
            <w:sz w:val="24"/>
            <w:szCs w:val="24"/>
            <w:u w:val="single"/>
            <w:shd w:val="clear" w:color="auto" w:fill="FFFFFF"/>
          </w:rPr>
          <w:t>порядок</w:t>
        </w:r>
      </w:hyperlink>
      <w:r>
        <w:rPr>
          <w:color w:val="000000"/>
          <w:sz w:val="24"/>
          <w:szCs w:val="24"/>
        </w:rPr>
        <w:t> </w:t>
      </w:r>
      <w:r>
        <w:rPr>
          <w:color w:val="000000"/>
          <w:sz w:val="24"/>
          <w:szCs w:val="24"/>
        </w:rPr>
        <w:t>его формирования утверждаются Правительством Российской Федерации.</w:t>
      </w:r>
    </w:p>
    <w:p w:rsidR="00367E6E" w:rsidRDefault="008E6C87">
      <w:pPr>
        <w:ind w:firstLine="567"/>
        <w:jc w:val="both"/>
      </w:pPr>
      <w:r>
        <w:rPr>
          <w:color w:val="000000"/>
          <w:sz w:val="24"/>
          <w:szCs w:val="24"/>
        </w:rPr>
        <w:t>Согласно ч.2 ст.33 Закона о контрактной системе о</w:t>
      </w:r>
      <w:r>
        <w:rPr>
          <w:color w:val="000000"/>
          <w:sz w:val="24"/>
          <w:szCs w:val="24"/>
        </w:rPr>
        <w:t>писание объекта з</w:t>
      </w:r>
      <w:r>
        <w:rPr>
          <w:color w:val="000000"/>
          <w:sz w:val="24"/>
          <w:szCs w:val="24"/>
        </w:rPr>
        <w:t>акупки в соответствии с требованиями, указанными в </w:t>
      </w:r>
      <w:hyperlink r:id="rId12" w:anchor="dst100387" w:history="1">
        <w:r>
          <w:rPr>
            <w:color w:val="000000"/>
            <w:sz w:val="24"/>
            <w:szCs w:val="24"/>
            <w:u w:val="single"/>
            <w:shd w:val="clear" w:color="auto" w:fill="FFFFFF"/>
          </w:rPr>
          <w:t>части 1</w:t>
        </w:r>
      </w:hyperlink>
      <w:r>
        <w:rPr>
          <w:color w:val="000000"/>
          <w:sz w:val="24"/>
          <w:szCs w:val="24"/>
        </w:rPr>
        <w:t> </w:t>
      </w:r>
      <w:r>
        <w:rPr>
          <w:color w:val="000000"/>
          <w:sz w:val="24"/>
          <w:szCs w:val="24"/>
        </w:rPr>
        <w:t>настоящей статьи, должно содержать показатели, позволяющие определить с</w:t>
      </w:r>
      <w:r>
        <w:rPr>
          <w:color w:val="000000"/>
          <w:sz w:val="24"/>
          <w:szCs w:val="24"/>
        </w:rPr>
        <w:t>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color w:val="000000"/>
          <w:sz w:val="24"/>
          <w:szCs w:val="24"/>
        </w:rPr>
        <w:t>.</w:t>
      </w:r>
    </w:p>
    <w:p w:rsidR="00367E6E" w:rsidRDefault="008E6C87">
      <w:pPr>
        <w:pStyle w:val="22"/>
        <w:shd w:val="clear" w:color="auto" w:fill="auto"/>
        <w:spacing w:after="0" w:line="240" w:lineRule="auto"/>
        <w:ind w:firstLine="709"/>
        <w:jc w:val="both"/>
        <w:rPr>
          <w:color w:val="000000"/>
          <w:sz w:val="24"/>
          <w:szCs w:val="24"/>
        </w:rPr>
      </w:pPr>
      <w:r>
        <w:rPr>
          <w:color w:val="000000"/>
          <w:sz w:val="24"/>
          <w:szCs w:val="24"/>
          <w:lang w:bidi="ru-RU"/>
        </w:rPr>
        <w:t>Пунктом 6 статьи 23 Закона о кон</w:t>
      </w:r>
      <w:r>
        <w:rPr>
          <w:color w:val="000000"/>
          <w:sz w:val="24"/>
          <w:szCs w:val="24"/>
          <w:lang w:bidi="ru-RU"/>
        </w:rPr>
        <w:t>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w:t>
      </w:r>
      <w:r>
        <w:rPr>
          <w:color w:val="000000"/>
          <w:sz w:val="24"/>
          <w:szCs w:val="24"/>
          <w:lang w:bidi="ru-RU"/>
        </w:rPr>
        <w:t>ьством Российской Федерации.</w:t>
      </w:r>
    </w:p>
    <w:p w:rsidR="00367E6E" w:rsidRDefault="008E6C87">
      <w:pPr>
        <w:pStyle w:val="22"/>
        <w:shd w:val="clear" w:color="auto" w:fill="auto"/>
        <w:spacing w:after="0" w:line="240" w:lineRule="auto"/>
        <w:ind w:firstLine="709"/>
        <w:jc w:val="both"/>
        <w:rPr>
          <w:color w:val="000000"/>
          <w:sz w:val="24"/>
          <w:szCs w:val="24"/>
        </w:rPr>
      </w:pPr>
      <w:r>
        <w:rPr>
          <w:color w:val="000000"/>
          <w:sz w:val="24"/>
          <w:szCs w:val="24"/>
          <w:lang w:bidi="ru-RU"/>
        </w:rPr>
        <w:t>Пунктом 1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w:t>
      </w:r>
      <w:r>
        <w:rPr>
          <w:color w:val="000000"/>
          <w:sz w:val="24"/>
          <w:szCs w:val="24"/>
          <w:lang w:bidi="ru-RU"/>
        </w:rPr>
        <w:t>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утверждены правила использования каталога товаров, работ, услуг для обеспечения государс</w:t>
      </w:r>
      <w:r>
        <w:rPr>
          <w:color w:val="000000"/>
          <w:sz w:val="24"/>
          <w:szCs w:val="24"/>
          <w:lang w:bidi="ru-RU"/>
        </w:rPr>
        <w:t>твенных и муниципальных нужд (далее - Правила).</w:t>
      </w:r>
    </w:p>
    <w:p w:rsidR="00367E6E" w:rsidRDefault="008E6C87">
      <w:pPr>
        <w:pStyle w:val="22"/>
        <w:shd w:val="clear" w:color="auto" w:fill="auto"/>
        <w:spacing w:after="0" w:line="240" w:lineRule="auto"/>
        <w:ind w:firstLine="709"/>
        <w:jc w:val="both"/>
        <w:rPr>
          <w:color w:val="000000"/>
          <w:sz w:val="24"/>
          <w:szCs w:val="24"/>
        </w:rPr>
      </w:pPr>
      <w:r>
        <w:rPr>
          <w:color w:val="000000"/>
          <w:sz w:val="24"/>
          <w:szCs w:val="24"/>
          <w:lang w:bidi="ru-RU"/>
        </w:rPr>
        <w:t>Пункт 4 Правил гласит,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w:t>
      </w:r>
      <w:r>
        <w:rPr>
          <w:color w:val="000000"/>
          <w:sz w:val="24"/>
          <w:szCs w:val="24"/>
          <w:lang w:bidi="ru-RU"/>
        </w:rPr>
        <w:t>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w:t>
      </w:r>
    </w:p>
    <w:p w:rsidR="00367E6E" w:rsidRDefault="008E6C87">
      <w:pPr>
        <w:pStyle w:val="72"/>
        <w:shd w:val="clear" w:color="auto" w:fill="auto"/>
        <w:spacing w:line="240" w:lineRule="auto"/>
        <w:ind w:firstLine="709"/>
      </w:pPr>
      <w:r>
        <w:rPr>
          <w:rStyle w:val="70"/>
          <w:sz w:val="24"/>
          <w:szCs w:val="24"/>
        </w:rPr>
        <w:t xml:space="preserve">Из содержания пункта 5 Правил следует, что Заказчик </w:t>
      </w:r>
      <w:r>
        <w:rPr>
          <w:rStyle w:val="70"/>
          <w:sz w:val="24"/>
          <w:szCs w:val="24"/>
        </w:rPr>
        <w:t xml:space="preserve">вправе указать в извещении об осуществлении закупки, приглашении и документации о закупке (в случае если Законом о контрактной системе предусмотрена </w:t>
      </w:r>
      <w:r>
        <w:rPr>
          <w:b w:val="0"/>
          <w:bCs w:val="0"/>
          <w:color w:val="000000"/>
          <w:sz w:val="24"/>
          <w:szCs w:val="24"/>
          <w:lang w:bidi="ru-RU"/>
        </w:rPr>
        <w:t>документация о закупке) дополнительную информацию, а также дополнительные потребительские свойства, в том ч</w:t>
      </w:r>
      <w:r>
        <w:rPr>
          <w:b w:val="0"/>
          <w:bCs w:val="0"/>
          <w:color w:val="000000"/>
          <w:sz w:val="24"/>
          <w:szCs w:val="24"/>
          <w:lang w:bidi="ru-RU"/>
        </w:rPr>
        <w:t>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rsidR="00367E6E" w:rsidRDefault="008E6C87">
      <w:pPr>
        <w:pStyle w:val="22"/>
        <w:shd w:val="clear" w:color="auto" w:fill="auto"/>
        <w:spacing w:after="0" w:line="240" w:lineRule="auto"/>
        <w:ind w:firstLine="709"/>
        <w:jc w:val="both"/>
      </w:pPr>
      <w:r>
        <w:rPr>
          <w:color w:val="000000"/>
          <w:sz w:val="24"/>
          <w:szCs w:val="24"/>
          <w:lang w:bidi="ru-RU"/>
        </w:rPr>
        <w:t>Пунктом 6 Правил, установлено, что в сл</w:t>
      </w:r>
      <w:r>
        <w:rPr>
          <w:color w:val="000000"/>
          <w:sz w:val="24"/>
          <w:szCs w:val="24"/>
          <w:lang w:bidi="ru-RU"/>
        </w:rPr>
        <w:t xml:space="preserve">учае предоставления иной и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w:t>
      </w:r>
      <w:r>
        <w:rPr>
          <w:rStyle w:val="20"/>
          <w:b w:val="0"/>
          <w:bCs w:val="0"/>
        </w:rPr>
        <w:t>(при наличии описания товара, работы, услуги в позиц</w:t>
      </w:r>
      <w:r>
        <w:rPr>
          <w:rStyle w:val="20"/>
          <w:b w:val="0"/>
          <w:bCs w:val="0"/>
        </w:rPr>
        <w:t>ии каталога).</w:t>
      </w:r>
    </w:p>
    <w:p w:rsidR="00367E6E" w:rsidRDefault="008E6C87">
      <w:pPr>
        <w:pStyle w:val="22"/>
        <w:shd w:val="clear" w:color="auto" w:fill="auto"/>
        <w:spacing w:after="0" w:line="240" w:lineRule="auto"/>
        <w:ind w:firstLine="709"/>
        <w:jc w:val="both"/>
        <w:rPr>
          <w:color w:val="000000"/>
          <w:sz w:val="24"/>
          <w:szCs w:val="24"/>
        </w:rPr>
      </w:pPr>
      <w:r>
        <w:rPr>
          <w:rStyle w:val="70"/>
          <w:b w:val="0"/>
          <w:bCs w:val="0"/>
          <w:sz w:val="24"/>
          <w:szCs w:val="24"/>
        </w:rPr>
        <w:t>Заказчиком при формировании описания объекта закупки по позиции 1 применена позиция КТРУ 32.50.50.190-00001293 «Манжета кровоостанавливающая, одноразового использования».</w:t>
      </w:r>
    </w:p>
    <w:p w:rsidR="00367E6E" w:rsidRDefault="008E6C87">
      <w:pPr>
        <w:pStyle w:val="22"/>
        <w:shd w:val="clear" w:color="auto" w:fill="auto"/>
        <w:spacing w:after="0" w:line="240" w:lineRule="auto"/>
        <w:ind w:firstLine="709"/>
        <w:jc w:val="both"/>
        <w:rPr>
          <w:color w:val="000000"/>
          <w:sz w:val="24"/>
          <w:szCs w:val="24"/>
        </w:rPr>
      </w:pPr>
      <w:r>
        <w:rPr>
          <w:color w:val="000000"/>
          <w:sz w:val="24"/>
          <w:szCs w:val="24"/>
          <w:lang w:bidi="ru-RU"/>
        </w:rPr>
        <w:t>Раздел «Описание товара, работы, услуги» каталога товаров, работ, услуг</w:t>
      </w:r>
      <w:r>
        <w:rPr>
          <w:color w:val="000000"/>
          <w:sz w:val="24"/>
          <w:szCs w:val="24"/>
          <w:lang w:bidi="ru-RU"/>
        </w:rPr>
        <w:t xml:space="preserve"> не содержит сведений о характеристике товара. Учитывая положения пункта 6 Правил, включение в </w:t>
      </w:r>
      <w:r>
        <w:rPr>
          <w:color w:val="000000"/>
          <w:sz w:val="24"/>
          <w:szCs w:val="24"/>
          <w:lang w:bidi="ru-RU"/>
        </w:rPr>
        <w:lastRenderedPageBreak/>
        <w:t>описание объекта закупки обоснования необходимости использования дополнительной информации не требуется.</w:t>
      </w:r>
    </w:p>
    <w:p w:rsidR="00367E6E" w:rsidRDefault="008E6C87">
      <w:pPr>
        <w:pStyle w:val="22"/>
        <w:shd w:val="clear" w:color="auto" w:fill="auto"/>
        <w:spacing w:after="0" w:line="240" w:lineRule="auto"/>
        <w:ind w:firstLine="709"/>
        <w:jc w:val="both"/>
        <w:rPr>
          <w:color w:val="000000"/>
          <w:sz w:val="24"/>
          <w:szCs w:val="24"/>
        </w:rPr>
      </w:pPr>
      <w:r>
        <w:rPr>
          <w:rStyle w:val="70"/>
          <w:b w:val="0"/>
          <w:bCs w:val="0"/>
          <w:sz w:val="24"/>
          <w:szCs w:val="24"/>
        </w:rPr>
        <w:t>При этом, Заказчик включил в описание объекта закупки со</w:t>
      </w:r>
      <w:r>
        <w:rPr>
          <w:rStyle w:val="70"/>
          <w:b w:val="0"/>
          <w:bCs w:val="0"/>
          <w:sz w:val="24"/>
          <w:szCs w:val="24"/>
        </w:rPr>
        <w:t>ответствующее обоснование по каждой характеристике.</w:t>
      </w:r>
    </w:p>
    <w:p w:rsidR="00367E6E" w:rsidRDefault="008E6C87">
      <w:pPr>
        <w:ind w:firstLine="567"/>
        <w:jc w:val="both"/>
        <w:rPr>
          <w:sz w:val="24"/>
          <w:szCs w:val="24"/>
        </w:rPr>
      </w:pPr>
      <w:r>
        <w:rPr>
          <w:sz w:val="24"/>
          <w:szCs w:val="24"/>
        </w:rPr>
        <w:t xml:space="preserve">Заявитель в жалобе указывает, что по позиции «Манжета кровоостанавливающая, одноразового использования» </w:t>
      </w:r>
      <w:r>
        <w:rPr>
          <w:color w:val="000000"/>
          <w:sz w:val="24"/>
          <w:szCs w:val="24"/>
        </w:rPr>
        <w:t>характеристика «Максимальный объём вводимого воздуха — 18 см³ (мл)» (пункт 2) является избыточно кон</w:t>
      </w:r>
      <w:r>
        <w:rPr>
          <w:color w:val="000000"/>
          <w:sz w:val="24"/>
          <w:szCs w:val="24"/>
        </w:rPr>
        <w:t>кретной и ограничивает число участников закупки, поскольку данному значению соответствуют исключительно медицинские изделия отдельных иностранных производителей.</w:t>
      </w:r>
    </w:p>
    <w:p w:rsidR="00367E6E" w:rsidRDefault="008E6C87">
      <w:pPr>
        <w:ind w:firstLine="567"/>
        <w:jc w:val="both"/>
        <w:rPr>
          <w:sz w:val="24"/>
          <w:szCs w:val="24"/>
        </w:rPr>
      </w:pPr>
      <w:r>
        <w:rPr>
          <w:sz w:val="24"/>
          <w:szCs w:val="24"/>
        </w:rPr>
        <w:t>Из пояснений Заказчика следует, что «</w:t>
      </w:r>
      <w:r>
        <w:rPr>
          <w:color w:val="000000"/>
          <w:sz w:val="24"/>
          <w:szCs w:val="24"/>
          <w:lang w:bidi="ru-RU"/>
        </w:rPr>
        <w:t>Описание объекта закупки» составлено таким образом, что е</w:t>
      </w:r>
      <w:r>
        <w:rPr>
          <w:color w:val="000000"/>
          <w:sz w:val="24"/>
          <w:szCs w:val="24"/>
          <w:lang w:bidi="ru-RU"/>
        </w:rPr>
        <w:t xml:space="preserve">му соответствует продукция как минимум двух производителей </w:t>
      </w:r>
      <w:r w:rsidRPr="008E6C87">
        <w:rPr>
          <w:color w:val="000000"/>
          <w:sz w:val="24"/>
          <w:szCs w:val="24"/>
          <w:lang w:eastAsia="en-US" w:bidi="en-US"/>
        </w:rPr>
        <w:t>(</w:t>
      </w:r>
      <w:r>
        <w:rPr>
          <w:color w:val="000000"/>
          <w:sz w:val="24"/>
          <w:szCs w:val="24"/>
          <w:lang w:val="en-US" w:eastAsia="en-US" w:bidi="en-US"/>
        </w:rPr>
        <w:t>Terumo</w:t>
      </w:r>
      <w:r w:rsidRPr="008E6C87">
        <w:rPr>
          <w:color w:val="000000"/>
          <w:sz w:val="24"/>
          <w:szCs w:val="24"/>
          <w:lang w:eastAsia="en-US" w:bidi="en-US"/>
        </w:rPr>
        <w:t xml:space="preserve"> </w:t>
      </w:r>
      <w:r>
        <w:rPr>
          <w:color w:val="000000"/>
          <w:sz w:val="24"/>
          <w:szCs w:val="24"/>
          <w:lang w:bidi="ru-RU"/>
        </w:rPr>
        <w:t>и Медикор).</w:t>
      </w:r>
    </w:p>
    <w:tbl>
      <w:tblPr>
        <w:tblW w:w="9369" w:type="dxa"/>
        <w:tblLayout w:type="fixed"/>
        <w:tblLook w:val="04A0" w:firstRow="1" w:lastRow="0" w:firstColumn="1" w:lastColumn="0" w:noHBand="0" w:noVBand="1"/>
      </w:tblPr>
      <w:tblGrid>
        <w:gridCol w:w="2775"/>
        <w:gridCol w:w="1618"/>
        <w:gridCol w:w="2412"/>
        <w:gridCol w:w="2564"/>
      </w:tblGrid>
      <w:tr w:rsidR="00367E6E">
        <w:trPr>
          <w:trHeight w:hRule="exact" w:val="1123"/>
        </w:trPr>
        <w:tc>
          <w:tcPr>
            <w:tcW w:w="2774" w:type="dxa"/>
            <w:tcBorders>
              <w:top w:val="single" w:sz="4" w:space="0" w:color="000000"/>
              <w:left w:val="single" w:sz="4" w:space="0" w:color="000000"/>
            </w:tcBorders>
            <w:shd w:val="clear" w:color="auto" w:fill="FFFFFF"/>
            <w:vAlign w:val="center"/>
          </w:tcPr>
          <w:p w:rsidR="00367E6E" w:rsidRDefault="008E6C87">
            <w:pPr>
              <w:pStyle w:val="22"/>
              <w:shd w:val="clear" w:color="auto" w:fill="auto"/>
              <w:spacing w:after="120" w:line="240" w:lineRule="exact"/>
            </w:pPr>
            <w:r>
              <w:rPr>
                <w:rStyle w:val="20"/>
                <w:sz w:val="18"/>
                <w:szCs w:val="18"/>
              </w:rPr>
              <w:t>Наименование</w:t>
            </w:r>
          </w:p>
          <w:p w:rsidR="00367E6E" w:rsidRDefault="008E6C87">
            <w:pPr>
              <w:pStyle w:val="22"/>
              <w:shd w:val="clear" w:color="auto" w:fill="auto"/>
              <w:spacing w:before="120" w:after="0" w:line="240" w:lineRule="exact"/>
            </w:pPr>
            <w:r>
              <w:rPr>
                <w:rStyle w:val="20"/>
                <w:sz w:val="18"/>
                <w:szCs w:val="18"/>
              </w:rPr>
              <w:t>показателя</w:t>
            </w:r>
          </w:p>
        </w:tc>
        <w:tc>
          <w:tcPr>
            <w:tcW w:w="1618" w:type="dxa"/>
            <w:tcBorders>
              <w:top w:val="single" w:sz="4" w:space="0" w:color="000000"/>
              <w:left w:val="single" w:sz="4" w:space="0" w:color="000000"/>
            </w:tcBorders>
            <w:shd w:val="clear" w:color="auto" w:fill="FFFFFF"/>
            <w:vAlign w:val="center"/>
          </w:tcPr>
          <w:p w:rsidR="00367E6E" w:rsidRDefault="008E6C87">
            <w:pPr>
              <w:pStyle w:val="22"/>
              <w:shd w:val="clear" w:color="auto" w:fill="auto"/>
              <w:spacing w:after="0" w:line="274" w:lineRule="exact"/>
            </w:pPr>
            <w:r>
              <w:rPr>
                <w:rStyle w:val="20"/>
                <w:sz w:val="18"/>
                <w:szCs w:val="18"/>
              </w:rPr>
              <w:t>Единица</w:t>
            </w:r>
          </w:p>
          <w:p w:rsidR="00367E6E" w:rsidRDefault="008E6C87">
            <w:pPr>
              <w:pStyle w:val="22"/>
              <w:shd w:val="clear" w:color="auto" w:fill="auto"/>
              <w:spacing w:after="0" w:line="274" w:lineRule="exact"/>
            </w:pPr>
            <w:r>
              <w:rPr>
                <w:rStyle w:val="20"/>
                <w:sz w:val="18"/>
                <w:szCs w:val="18"/>
              </w:rPr>
              <w:t>измерения</w:t>
            </w:r>
          </w:p>
          <w:p w:rsidR="00367E6E" w:rsidRDefault="008E6C87">
            <w:pPr>
              <w:pStyle w:val="22"/>
              <w:shd w:val="clear" w:color="auto" w:fill="auto"/>
              <w:spacing w:after="0" w:line="274" w:lineRule="exact"/>
              <w:ind w:left="220"/>
            </w:pPr>
            <w:r>
              <w:rPr>
                <w:rStyle w:val="20"/>
                <w:sz w:val="18"/>
                <w:szCs w:val="18"/>
              </w:rPr>
              <w:t>показателя</w:t>
            </w:r>
          </w:p>
        </w:tc>
        <w:tc>
          <w:tcPr>
            <w:tcW w:w="2412" w:type="dxa"/>
            <w:tcBorders>
              <w:top w:val="single" w:sz="4" w:space="0" w:color="000000"/>
              <w:left w:val="single" w:sz="4" w:space="0" w:color="000000"/>
            </w:tcBorders>
            <w:shd w:val="clear" w:color="auto" w:fill="FFFFFF"/>
            <w:vAlign w:val="center"/>
          </w:tcPr>
          <w:p w:rsidR="00367E6E" w:rsidRDefault="008E6C87">
            <w:pPr>
              <w:pStyle w:val="22"/>
              <w:shd w:val="clear" w:color="auto" w:fill="auto"/>
              <w:spacing w:after="0" w:line="274" w:lineRule="exact"/>
            </w:pPr>
            <w:r>
              <w:rPr>
                <w:rStyle w:val="20"/>
                <w:sz w:val="18"/>
                <w:szCs w:val="18"/>
              </w:rPr>
              <w:t xml:space="preserve">Производитель 1 </w:t>
            </w:r>
            <w:r>
              <w:rPr>
                <w:rStyle w:val="20"/>
                <w:sz w:val="18"/>
                <w:szCs w:val="18"/>
                <w:lang w:val="en-US" w:eastAsia="en-US" w:bidi="en-US"/>
              </w:rPr>
              <w:t>TR</w:t>
            </w:r>
            <w:r w:rsidRPr="008E6C87">
              <w:rPr>
                <w:rStyle w:val="20"/>
                <w:sz w:val="18"/>
                <w:szCs w:val="18"/>
                <w:lang w:eastAsia="en-US" w:bidi="en-US"/>
              </w:rPr>
              <w:t>-</w:t>
            </w:r>
            <w:r>
              <w:rPr>
                <w:rStyle w:val="20"/>
                <w:sz w:val="18"/>
                <w:szCs w:val="18"/>
                <w:lang w:val="en-US" w:eastAsia="en-US" w:bidi="en-US"/>
              </w:rPr>
              <w:t>Band</w:t>
            </w:r>
            <w:r w:rsidRPr="008E6C87">
              <w:rPr>
                <w:rStyle w:val="20"/>
                <w:sz w:val="18"/>
                <w:szCs w:val="18"/>
                <w:lang w:eastAsia="en-US" w:bidi="en-US"/>
              </w:rPr>
              <w:t xml:space="preserve"> </w:t>
            </w:r>
            <w:r>
              <w:rPr>
                <w:rStyle w:val="20"/>
                <w:sz w:val="18"/>
                <w:szCs w:val="18"/>
              </w:rPr>
              <w:t xml:space="preserve">- </w:t>
            </w:r>
            <w:r>
              <w:rPr>
                <w:rStyle w:val="20"/>
                <w:sz w:val="18"/>
                <w:szCs w:val="18"/>
                <w:lang w:val="en-US" w:eastAsia="en-US" w:bidi="en-US"/>
              </w:rPr>
              <w:t>Terumo</w:t>
            </w:r>
            <w:r w:rsidRPr="008E6C87">
              <w:rPr>
                <w:rStyle w:val="20"/>
                <w:sz w:val="18"/>
                <w:szCs w:val="18"/>
                <w:lang w:eastAsia="en-US" w:bidi="en-US"/>
              </w:rPr>
              <w:t xml:space="preserve"> </w:t>
            </w:r>
            <w:r>
              <w:rPr>
                <w:rStyle w:val="20"/>
                <w:sz w:val="18"/>
                <w:szCs w:val="18"/>
              </w:rPr>
              <w:t>РЗН 2016/3922</w:t>
            </w:r>
          </w:p>
        </w:tc>
        <w:tc>
          <w:tcPr>
            <w:tcW w:w="2564" w:type="dxa"/>
            <w:tcBorders>
              <w:top w:val="single" w:sz="4" w:space="0" w:color="000000"/>
              <w:left w:val="single" w:sz="4" w:space="0" w:color="000000"/>
              <w:right w:val="single" w:sz="4" w:space="0" w:color="000000"/>
            </w:tcBorders>
            <w:shd w:val="clear" w:color="auto" w:fill="FFFFFF"/>
            <w:vAlign w:val="bottom"/>
          </w:tcPr>
          <w:p w:rsidR="00367E6E" w:rsidRDefault="008E6C87">
            <w:pPr>
              <w:pStyle w:val="22"/>
              <w:shd w:val="clear" w:color="auto" w:fill="auto"/>
              <w:spacing w:after="0" w:line="274" w:lineRule="exact"/>
            </w:pPr>
            <w:r>
              <w:rPr>
                <w:rStyle w:val="20"/>
                <w:sz w:val="18"/>
                <w:szCs w:val="18"/>
              </w:rPr>
              <w:t>Производитель 2 Устройство КОНТУР РЗН 2022/19209</w:t>
            </w:r>
          </w:p>
        </w:tc>
      </w:tr>
      <w:tr w:rsidR="00367E6E">
        <w:trPr>
          <w:trHeight w:hRule="exact" w:val="298"/>
        </w:trPr>
        <w:tc>
          <w:tcPr>
            <w:tcW w:w="2774" w:type="dxa"/>
            <w:tcBorders>
              <w:top w:val="single" w:sz="4" w:space="0" w:color="000000"/>
              <w:left w:val="single" w:sz="4" w:space="0" w:color="000000"/>
            </w:tcBorders>
            <w:shd w:val="clear" w:color="auto" w:fill="FFFFFF"/>
            <w:vAlign w:val="bottom"/>
          </w:tcPr>
          <w:p w:rsidR="00367E6E" w:rsidRDefault="008E6C87">
            <w:pPr>
              <w:pStyle w:val="22"/>
              <w:shd w:val="clear" w:color="auto" w:fill="auto"/>
              <w:spacing w:after="0" w:line="240" w:lineRule="exact"/>
            </w:pPr>
            <w:r>
              <w:rPr>
                <w:rStyle w:val="21"/>
                <w:sz w:val="18"/>
                <w:szCs w:val="18"/>
              </w:rPr>
              <w:t>Длина манжеты</w:t>
            </w:r>
          </w:p>
        </w:tc>
        <w:tc>
          <w:tcPr>
            <w:tcW w:w="1618" w:type="dxa"/>
            <w:tcBorders>
              <w:top w:val="single" w:sz="4" w:space="0" w:color="000000"/>
              <w:left w:val="single" w:sz="4" w:space="0" w:color="000000"/>
            </w:tcBorders>
            <w:shd w:val="clear" w:color="auto" w:fill="FFFFFF"/>
            <w:vAlign w:val="bottom"/>
          </w:tcPr>
          <w:p w:rsidR="00367E6E" w:rsidRDefault="008E6C87">
            <w:pPr>
              <w:pStyle w:val="22"/>
              <w:shd w:val="clear" w:color="auto" w:fill="auto"/>
              <w:spacing w:after="0" w:line="240" w:lineRule="exact"/>
            </w:pPr>
            <w:r>
              <w:rPr>
                <w:rStyle w:val="21"/>
                <w:sz w:val="18"/>
                <w:szCs w:val="18"/>
              </w:rPr>
              <w:t>см</w:t>
            </w:r>
          </w:p>
        </w:tc>
        <w:tc>
          <w:tcPr>
            <w:tcW w:w="2412" w:type="dxa"/>
            <w:tcBorders>
              <w:top w:val="single" w:sz="4" w:space="0" w:color="000000"/>
              <w:left w:val="single" w:sz="4" w:space="0" w:color="000000"/>
            </w:tcBorders>
            <w:shd w:val="clear" w:color="auto" w:fill="FFFFFF"/>
            <w:vAlign w:val="bottom"/>
          </w:tcPr>
          <w:p w:rsidR="00367E6E" w:rsidRDefault="008E6C87">
            <w:pPr>
              <w:pStyle w:val="22"/>
              <w:shd w:val="clear" w:color="auto" w:fill="auto"/>
              <w:spacing w:after="0" w:line="240" w:lineRule="exact"/>
            </w:pPr>
            <w:r>
              <w:rPr>
                <w:rStyle w:val="21"/>
                <w:sz w:val="18"/>
                <w:szCs w:val="18"/>
              </w:rPr>
              <w:t>24</w:t>
            </w:r>
          </w:p>
        </w:tc>
        <w:tc>
          <w:tcPr>
            <w:tcW w:w="2564" w:type="dxa"/>
            <w:tcBorders>
              <w:top w:val="single" w:sz="4" w:space="0" w:color="000000"/>
              <w:left w:val="single" w:sz="4" w:space="0" w:color="000000"/>
              <w:right w:val="single" w:sz="4" w:space="0" w:color="000000"/>
            </w:tcBorders>
            <w:shd w:val="clear" w:color="auto" w:fill="FFFFFF"/>
            <w:vAlign w:val="bottom"/>
          </w:tcPr>
          <w:p w:rsidR="00367E6E" w:rsidRDefault="008E6C87">
            <w:pPr>
              <w:pStyle w:val="22"/>
              <w:shd w:val="clear" w:color="auto" w:fill="auto"/>
              <w:spacing w:after="0" w:line="240" w:lineRule="exact"/>
            </w:pPr>
            <w:r>
              <w:rPr>
                <w:rStyle w:val="21"/>
                <w:sz w:val="18"/>
                <w:szCs w:val="18"/>
              </w:rPr>
              <w:t>24</w:t>
            </w:r>
          </w:p>
        </w:tc>
      </w:tr>
      <w:tr w:rsidR="00367E6E">
        <w:trPr>
          <w:trHeight w:hRule="exact" w:val="739"/>
        </w:trPr>
        <w:tc>
          <w:tcPr>
            <w:tcW w:w="2774" w:type="dxa"/>
            <w:tcBorders>
              <w:top w:val="single" w:sz="4" w:space="0" w:color="000000"/>
              <w:left w:val="single" w:sz="4" w:space="0" w:color="000000"/>
            </w:tcBorders>
            <w:shd w:val="clear" w:color="auto" w:fill="FFFFFF"/>
            <w:vAlign w:val="bottom"/>
          </w:tcPr>
          <w:p w:rsidR="00367E6E" w:rsidRDefault="008E6C87">
            <w:pPr>
              <w:pStyle w:val="22"/>
              <w:shd w:val="clear" w:color="auto" w:fill="auto"/>
              <w:spacing w:after="0"/>
            </w:pPr>
            <w:r>
              <w:rPr>
                <w:rStyle w:val="21"/>
                <w:sz w:val="18"/>
                <w:szCs w:val="18"/>
              </w:rPr>
              <w:t>Максимальный объем вводимого воздуха</w:t>
            </w:r>
          </w:p>
        </w:tc>
        <w:tc>
          <w:tcPr>
            <w:tcW w:w="1618" w:type="dxa"/>
            <w:tcBorders>
              <w:top w:val="single" w:sz="4" w:space="0" w:color="000000"/>
              <w:left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мл</w:t>
            </w:r>
          </w:p>
        </w:tc>
        <w:tc>
          <w:tcPr>
            <w:tcW w:w="2412" w:type="dxa"/>
            <w:tcBorders>
              <w:top w:val="single" w:sz="4" w:space="0" w:color="000000"/>
              <w:left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18</w:t>
            </w:r>
          </w:p>
        </w:tc>
        <w:tc>
          <w:tcPr>
            <w:tcW w:w="2564" w:type="dxa"/>
            <w:tcBorders>
              <w:top w:val="single" w:sz="4" w:space="0" w:color="000000"/>
              <w:left w:val="single" w:sz="4" w:space="0" w:color="000000"/>
              <w:right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18</w:t>
            </w:r>
          </w:p>
        </w:tc>
      </w:tr>
      <w:tr w:rsidR="00367E6E">
        <w:trPr>
          <w:trHeight w:hRule="exact" w:val="562"/>
        </w:trPr>
        <w:tc>
          <w:tcPr>
            <w:tcW w:w="2774" w:type="dxa"/>
            <w:tcBorders>
              <w:top w:val="single" w:sz="4" w:space="0" w:color="000000"/>
              <w:left w:val="single" w:sz="4" w:space="0" w:color="000000"/>
            </w:tcBorders>
            <w:shd w:val="clear" w:color="auto" w:fill="FFFFFF"/>
            <w:vAlign w:val="bottom"/>
          </w:tcPr>
          <w:p w:rsidR="00367E6E" w:rsidRDefault="008E6C87">
            <w:pPr>
              <w:pStyle w:val="22"/>
              <w:shd w:val="clear" w:color="auto" w:fill="auto"/>
              <w:spacing w:after="0"/>
            </w:pPr>
            <w:r>
              <w:rPr>
                <w:rStyle w:val="21"/>
                <w:sz w:val="18"/>
                <w:szCs w:val="18"/>
              </w:rPr>
              <w:t>Шприц для раздувания манжеты</w:t>
            </w:r>
          </w:p>
        </w:tc>
        <w:tc>
          <w:tcPr>
            <w:tcW w:w="1618" w:type="dxa"/>
            <w:tcBorders>
              <w:top w:val="single" w:sz="4" w:space="0" w:color="000000"/>
              <w:left w:val="single" w:sz="4" w:space="0" w:color="000000"/>
            </w:tcBorders>
            <w:shd w:val="clear" w:color="auto" w:fill="FFFFFF"/>
          </w:tcPr>
          <w:p w:rsidR="00367E6E" w:rsidRDefault="00367E6E">
            <w:pPr>
              <w:widowControl w:val="0"/>
              <w:rPr>
                <w:sz w:val="18"/>
                <w:szCs w:val="18"/>
              </w:rPr>
            </w:pPr>
          </w:p>
        </w:tc>
        <w:tc>
          <w:tcPr>
            <w:tcW w:w="2412" w:type="dxa"/>
            <w:tcBorders>
              <w:top w:val="single" w:sz="4" w:space="0" w:color="000000"/>
              <w:left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Наличие</w:t>
            </w:r>
          </w:p>
        </w:tc>
        <w:tc>
          <w:tcPr>
            <w:tcW w:w="2564" w:type="dxa"/>
            <w:tcBorders>
              <w:top w:val="single" w:sz="4" w:space="0" w:color="000000"/>
              <w:left w:val="single" w:sz="4" w:space="0" w:color="000000"/>
              <w:right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Наличие</w:t>
            </w:r>
          </w:p>
        </w:tc>
      </w:tr>
      <w:tr w:rsidR="00367E6E">
        <w:trPr>
          <w:trHeight w:hRule="exact" w:val="298"/>
        </w:trPr>
        <w:tc>
          <w:tcPr>
            <w:tcW w:w="2774" w:type="dxa"/>
            <w:tcBorders>
              <w:top w:val="single" w:sz="4" w:space="0" w:color="000000"/>
              <w:left w:val="single" w:sz="4" w:space="0" w:color="000000"/>
            </w:tcBorders>
            <w:shd w:val="clear" w:color="auto" w:fill="FFFFFF"/>
            <w:vAlign w:val="bottom"/>
          </w:tcPr>
          <w:p w:rsidR="00367E6E" w:rsidRDefault="008E6C87">
            <w:pPr>
              <w:pStyle w:val="22"/>
              <w:shd w:val="clear" w:color="auto" w:fill="auto"/>
              <w:spacing w:after="0" w:line="240" w:lineRule="exact"/>
            </w:pPr>
            <w:r>
              <w:rPr>
                <w:rStyle w:val="21"/>
                <w:sz w:val="18"/>
                <w:szCs w:val="18"/>
              </w:rPr>
              <w:t>Объем шприца</w:t>
            </w:r>
          </w:p>
        </w:tc>
        <w:tc>
          <w:tcPr>
            <w:tcW w:w="1618" w:type="dxa"/>
            <w:tcBorders>
              <w:top w:val="single" w:sz="4" w:space="0" w:color="000000"/>
              <w:left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мл</w:t>
            </w:r>
          </w:p>
        </w:tc>
        <w:tc>
          <w:tcPr>
            <w:tcW w:w="2412" w:type="dxa"/>
            <w:tcBorders>
              <w:top w:val="single" w:sz="4" w:space="0" w:color="000000"/>
              <w:left w:val="single" w:sz="4" w:space="0" w:color="000000"/>
            </w:tcBorders>
            <w:shd w:val="clear" w:color="auto" w:fill="FFFFFF"/>
            <w:vAlign w:val="bottom"/>
          </w:tcPr>
          <w:p w:rsidR="00367E6E" w:rsidRDefault="008E6C87">
            <w:pPr>
              <w:pStyle w:val="22"/>
              <w:shd w:val="clear" w:color="auto" w:fill="auto"/>
              <w:spacing w:after="0" w:line="240" w:lineRule="exact"/>
            </w:pPr>
            <w:r>
              <w:rPr>
                <w:rStyle w:val="21"/>
                <w:sz w:val="18"/>
                <w:szCs w:val="18"/>
              </w:rPr>
              <w:t>20</w:t>
            </w:r>
          </w:p>
        </w:tc>
        <w:tc>
          <w:tcPr>
            <w:tcW w:w="2564" w:type="dxa"/>
            <w:tcBorders>
              <w:top w:val="single" w:sz="4" w:space="0" w:color="000000"/>
              <w:left w:val="single" w:sz="4" w:space="0" w:color="000000"/>
              <w:right w:val="single" w:sz="4" w:space="0" w:color="000000"/>
            </w:tcBorders>
            <w:shd w:val="clear" w:color="auto" w:fill="FFFFFF"/>
            <w:vAlign w:val="bottom"/>
          </w:tcPr>
          <w:p w:rsidR="00367E6E" w:rsidRDefault="008E6C87">
            <w:pPr>
              <w:pStyle w:val="22"/>
              <w:shd w:val="clear" w:color="auto" w:fill="auto"/>
              <w:spacing w:after="0" w:line="240" w:lineRule="exact"/>
            </w:pPr>
            <w:r>
              <w:rPr>
                <w:rStyle w:val="21"/>
                <w:sz w:val="18"/>
                <w:szCs w:val="18"/>
              </w:rPr>
              <w:t>20</w:t>
            </w:r>
          </w:p>
        </w:tc>
      </w:tr>
      <w:tr w:rsidR="00367E6E">
        <w:trPr>
          <w:trHeight w:hRule="exact" w:val="948"/>
        </w:trPr>
        <w:tc>
          <w:tcPr>
            <w:tcW w:w="2774" w:type="dxa"/>
            <w:tcBorders>
              <w:top w:val="single" w:sz="4" w:space="0" w:color="000000"/>
              <w:left w:val="single" w:sz="4" w:space="0" w:color="000000"/>
              <w:bottom w:val="single" w:sz="4" w:space="0" w:color="000000"/>
            </w:tcBorders>
            <w:shd w:val="clear" w:color="auto" w:fill="FFFFFF"/>
            <w:vAlign w:val="bottom"/>
          </w:tcPr>
          <w:p w:rsidR="00367E6E" w:rsidRDefault="008E6C87">
            <w:pPr>
              <w:pStyle w:val="22"/>
              <w:shd w:val="clear" w:color="auto" w:fill="auto"/>
              <w:spacing w:after="0" w:line="274" w:lineRule="exact"/>
            </w:pPr>
            <w:r>
              <w:rPr>
                <w:rStyle w:val="21"/>
                <w:sz w:val="18"/>
                <w:szCs w:val="18"/>
              </w:rPr>
              <w:t>Прозрачное окно для позиционирования манжеты в месте пункции</w:t>
            </w:r>
          </w:p>
        </w:tc>
        <w:tc>
          <w:tcPr>
            <w:tcW w:w="1618" w:type="dxa"/>
            <w:tcBorders>
              <w:top w:val="single" w:sz="4" w:space="0" w:color="000000"/>
              <w:left w:val="single" w:sz="4" w:space="0" w:color="000000"/>
              <w:bottom w:val="single" w:sz="4" w:space="0" w:color="000000"/>
            </w:tcBorders>
            <w:shd w:val="clear" w:color="auto" w:fill="FFFFFF"/>
          </w:tcPr>
          <w:p w:rsidR="00367E6E" w:rsidRDefault="00367E6E">
            <w:pPr>
              <w:widowControl w:val="0"/>
              <w:rPr>
                <w:sz w:val="18"/>
                <w:szCs w:val="18"/>
              </w:rPr>
            </w:pPr>
          </w:p>
        </w:tc>
        <w:tc>
          <w:tcPr>
            <w:tcW w:w="2412" w:type="dxa"/>
            <w:tcBorders>
              <w:top w:val="single" w:sz="4" w:space="0" w:color="000000"/>
              <w:left w:val="single" w:sz="4" w:space="0" w:color="000000"/>
              <w:bottom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Наличие</w:t>
            </w:r>
          </w:p>
        </w:tc>
        <w:tc>
          <w:tcPr>
            <w:tcW w:w="25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E6E" w:rsidRDefault="008E6C87">
            <w:pPr>
              <w:pStyle w:val="22"/>
              <w:shd w:val="clear" w:color="auto" w:fill="auto"/>
              <w:spacing w:after="0" w:line="240" w:lineRule="exact"/>
            </w:pPr>
            <w:r>
              <w:rPr>
                <w:rStyle w:val="21"/>
                <w:sz w:val="18"/>
                <w:szCs w:val="18"/>
              </w:rPr>
              <w:t>Наличие</w:t>
            </w:r>
          </w:p>
        </w:tc>
      </w:tr>
    </w:tbl>
    <w:p w:rsidR="00367E6E" w:rsidRDefault="008E6C87">
      <w:pPr>
        <w:pStyle w:val="22"/>
        <w:shd w:val="clear" w:color="auto" w:fill="auto"/>
        <w:spacing w:after="0" w:line="240" w:lineRule="auto"/>
        <w:ind w:firstLine="709"/>
        <w:jc w:val="both"/>
        <w:rPr>
          <w:sz w:val="24"/>
          <w:szCs w:val="24"/>
        </w:rPr>
      </w:pPr>
      <w:r>
        <w:rPr>
          <w:color w:val="000000"/>
          <w:sz w:val="24"/>
          <w:szCs w:val="24"/>
          <w:lang w:bidi="ru-RU"/>
        </w:rPr>
        <w:t>На рынке представлены кровоостанавливающие манжеты с объёмом</w:t>
      </w:r>
      <w:r>
        <w:rPr>
          <w:color w:val="000000"/>
          <w:sz w:val="24"/>
          <w:szCs w:val="24"/>
          <w:lang w:bidi="ru-RU"/>
        </w:rPr>
        <w:t xml:space="preserve"> камеры 18 мл</w:t>
      </w:r>
      <w:r>
        <w:rPr>
          <w:color w:val="000000"/>
          <w:sz w:val="24"/>
          <w:szCs w:val="24"/>
          <w:lang w:bidi="ru-RU"/>
        </w:rPr>
        <w:br/>
        <w:t>различных производителей.</w:t>
      </w:r>
    </w:p>
    <w:p w:rsidR="00367E6E" w:rsidRDefault="008E6C87">
      <w:pPr>
        <w:pStyle w:val="22"/>
        <w:shd w:val="clear" w:color="auto" w:fill="auto"/>
        <w:tabs>
          <w:tab w:val="left" w:pos="1819"/>
        </w:tabs>
        <w:spacing w:after="0" w:line="240" w:lineRule="auto"/>
        <w:ind w:firstLine="709"/>
        <w:jc w:val="both"/>
      </w:pPr>
      <w:r>
        <w:rPr>
          <w:rStyle w:val="32"/>
          <w:b w:val="0"/>
          <w:bCs w:val="0"/>
        </w:rPr>
        <w:t xml:space="preserve">Абзацем 5 подпункта «а» пункта 7 Постановления № 1875 установлено, что для целей осуществлении закупок в соответствии с Законом о контрактной системе </w:t>
      </w:r>
      <w:r>
        <w:rPr>
          <w:rStyle w:val="21"/>
        </w:rPr>
        <w:t>особенностями описания объекта закупки, являющегося товаром</w:t>
      </w:r>
      <w:r>
        <w:rPr>
          <w:rStyle w:val="32"/>
          <w:b w:val="0"/>
          <w:bCs w:val="0"/>
        </w:rPr>
        <w:t xml:space="preserve"> (в том</w:t>
      </w:r>
      <w:r>
        <w:rPr>
          <w:rStyle w:val="32"/>
          <w:b w:val="0"/>
          <w:bCs w:val="0"/>
        </w:rPr>
        <w:t xml:space="preserve"> числе поставляемым при выполнении закупаемых работ, оказании закупаемых услуг), </w:t>
      </w:r>
      <w:r>
        <w:rPr>
          <w:rStyle w:val="21"/>
        </w:rPr>
        <w:t>производство которого на территории Российской Федерации отсутствует,</w:t>
      </w:r>
      <w:r>
        <w:rPr>
          <w:rStyle w:val="21"/>
        </w:rPr>
        <w:t xml:space="preserve"> при осуществлении закупки товаров, не указанных в позициях </w:t>
      </w:r>
      <w:r>
        <w:rPr>
          <w:rStyle w:val="24pt"/>
        </w:rPr>
        <w:t>1-145</w:t>
      </w:r>
      <w:r>
        <w:rPr>
          <w:rStyle w:val="21"/>
        </w:rPr>
        <w:t xml:space="preserve"> приложения № 1 к настоящему постановлени</w:t>
      </w:r>
      <w:r>
        <w:rPr>
          <w:rStyle w:val="21"/>
        </w:rPr>
        <w:t xml:space="preserve">ю, позициях </w:t>
      </w:r>
      <w:r>
        <w:rPr>
          <w:rStyle w:val="24pt"/>
        </w:rPr>
        <w:t xml:space="preserve">1-433 </w:t>
      </w:r>
      <w:r>
        <w:rPr>
          <w:rStyle w:val="21"/>
        </w:rPr>
        <w:t xml:space="preserve">приложения № 2 к настоящему постановлению, - </w:t>
      </w:r>
      <w:r>
        <w:rPr>
          <w:rStyle w:val="21"/>
        </w:rPr>
        <w:t>декларирование в извещении об осуществлении закупк</w:t>
      </w:r>
      <w:r>
        <w:rPr>
          <w:rStyle w:val="21"/>
        </w:rPr>
        <w:t xml:space="preserve">и или в приглашении принять участие в определении поставщика (подрядчика, исполнителя) </w:t>
      </w:r>
      <w:r>
        <w:rPr>
          <w:rStyle w:val="21"/>
        </w:rPr>
        <w:t>факта отсутствия на территории Российской Федерации прои</w:t>
      </w:r>
      <w:r>
        <w:rPr>
          <w:rStyle w:val="21"/>
        </w:rPr>
        <w:t>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w:t>
      </w:r>
      <w:r>
        <w:rPr>
          <w:rStyle w:val="21"/>
        </w:rPr>
        <w:t>твует</w:t>
      </w:r>
      <w:r>
        <w:rPr>
          <w:rStyle w:val="21"/>
        </w:rPr>
        <w:t>.</w:t>
      </w:r>
    </w:p>
    <w:p w:rsidR="00367E6E" w:rsidRDefault="008E6C87">
      <w:pPr>
        <w:pStyle w:val="23"/>
        <w:shd w:val="clear" w:color="auto" w:fill="auto"/>
        <w:tabs>
          <w:tab w:val="left" w:pos="1618"/>
        </w:tabs>
        <w:spacing w:line="240" w:lineRule="auto"/>
        <w:ind w:firstLine="709"/>
        <w:jc w:val="both"/>
      </w:pPr>
      <w:bookmarkStart w:id="0" w:name="bookmark211"/>
      <w:r>
        <w:rPr>
          <w:rStyle w:val="21"/>
          <w:b w:val="0"/>
          <w:bCs w:val="0"/>
        </w:rPr>
        <w:t>Заказчик в установленном порядке продекларировал отсутствие в реестре российской промышленной продукции товара с характеристиками,</w:t>
      </w:r>
      <w:bookmarkEnd w:id="0"/>
      <w:r>
        <w:rPr>
          <w:rStyle w:val="21"/>
          <w:b w:val="0"/>
          <w:bCs w:val="0"/>
        </w:rPr>
        <w:t xml:space="preserve"> соответствующими потребности заказчика.</w:t>
      </w:r>
    </w:p>
    <w:p w:rsidR="00367E6E" w:rsidRDefault="008E6C87">
      <w:pPr>
        <w:pStyle w:val="33"/>
        <w:shd w:val="clear" w:color="auto" w:fill="auto"/>
        <w:tabs>
          <w:tab w:val="left" w:pos="1819"/>
        </w:tabs>
        <w:spacing w:line="240" w:lineRule="auto"/>
        <w:ind w:firstLine="709"/>
        <w:jc w:val="both"/>
      </w:pPr>
      <w:r>
        <w:rPr>
          <w:b w:val="0"/>
          <w:bCs w:val="0"/>
          <w:color w:val="000000"/>
          <w:sz w:val="24"/>
          <w:szCs w:val="24"/>
          <w:lang w:bidi="ru-RU"/>
        </w:rPr>
        <w:t xml:space="preserve">В </w:t>
      </w:r>
      <w:r>
        <w:rPr>
          <w:rStyle w:val="20"/>
        </w:rPr>
        <w:t>реестре российской промышленной продукции</w:t>
      </w:r>
      <w:r>
        <w:rPr>
          <w:rStyle w:val="20"/>
          <w:b/>
        </w:rPr>
        <w:t xml:space="preserve"> </w:t>
      </w:r>
      <w:r>
        <w:rPr>
          <w:b w:val="0"/>
          <w:bCs w:val="0"/>
          <w:color w:val="000000"/>
          <w:sz w:val="24"/>
          <w:szCs w:val="24"/>
          <w:lang w:bidi="ru-RU"/>
        </w:rPr>
        <w:t>(РПП, ПП РФ № 719) отсутствует тов</w:t>
      </w:r>
      <w:r>
        <w:rPr>
          <w:b w:val="0"/>
          <w:bCs w:val="0"/>
          <w:color w:val="000000"/>
          <w:sz w:val="24"/>
          <w:szCs w:val="24"/>
          <w:lang w:bidi="ru-RU"/>
        </w:rPr>
        <w:t>ар «манжета кровоостанавливающая» с максимальным объёмом вводимого воздуха 18 мл, произведённый на территории Российской Федерации.</w:t>
      </w:r>
    </w:p>
    <w:p w:rsidR="00367E6E" w:rsidRDefault="008E6C87">
      <w:pPr>
        <w:pStyle w:val="22"/>
        <w:shd w:val="clear" w:color="auto" w:fill="auto"/>
        <w:tabs>
          <w:tab w:val="left" w:pos="790"/>
        </w:tabs>
        <w:spacing w:after="0" w:line="240" w:lineRule="auto"/>
        <w:ind w:firstLine="709"/>
        <w:jc w:val="both"/>
        <w:rPr>
          <w:sz w:val="24"/>
          <w:szCs w:val="24"/>
        </w:rPr>
      </w:pPr>
      <w:r>
        <w:rPr>
          <w:color w:val="000000"/>
          <w:sz w:val="24"/>
          <w:szCs w:val="24"/>
          <w:lang w:bidi="ru-RU"/>
        </w:rPr>
        <w:t xml:space="preserve">Изделие КОНТУР (РЗН 2022/19209), держателем РУ которого является ООО «Медикор» (Россия), </w:t>
      </w:r>
      <w:r>
        <w:rPr>
          <w:rStyle w:val="20"/>
          <w:b w:val="0"/>
          <w:bCs w:val="0"/>
        </w:rPr>
        <w:t>фактически производится</w:t>
      </w:r>
      <w:r>
        <w:rPr>
          <w:rStyle w:val="20"/>
        </w:rPr>
        <w:t xml:space="preserve"> </w:t>
      </w:r>
      <w:r>
        <w:rPr>
          <w:color w:val="000000"/>
          <w:sz w:val="24"/>
          <w:szCs w:val="24"/>
          <w:lang w:val="en-US" w:eastAsia="en-US" w:bidi="en-US"/>
        </w:rPr>
        <w:t>Shunmei</w:t>
      </w:r>
      <w:r w:rsidRPr="008E6C87">
        <w:rPr>
          <w:color w:val="000000"/>
          <w:sz w:val="24"/>
          <w:szCs w:val="24"/>
          <w:lang w:eastAsia="en-US" w:bidi="en-US"/>
        </w:rPr>
        <w:t xml:space="preserve"> </w:t>
      </w:r>
      <w:r>
        <w:rPr>
          <w:color w:val="000000"/>
          <w:sz w:val="24"/>
          <w:szCs w:val="24"/>
          <w:lang w:val="en-US" w:eastAsia="en-US" w:bidi="en-US"/>
        </w:rPr>
        <w:t>Medical</w:t>
      </w:r>
      <w:r w:rsidRPr="008E6C87">
        <w:rPr>
          <w:color w:val="000000"/>
          <w:sz w:val="24"/>
          <w:szCs w:val="24"/>
          <w:lang w:eastAsia="en-US" w:bidi="en-US"/>
        </w:rPr>
        <w:t xml:space="preserve"> </w:t>
      </w:r>
      <w:r>
        <w:rPr>
          <w:color w:val="000000"/>
          <w:sz w:val="24"/>
          <w:szCs w:val="24"/>
          <w:lang w:bidi="ru-RU"/>
        </w:rPr>
        <w:t xml:space="preserve">Со., </w:t>
      </w:r>
      <w:r>
        <w:rPr>
          <w:color w:val="000000"/>
          <w:sz w:val="24"/>
          <w:szCs w:val="24"/>
          <w:lang w:val="en-US" w:eastAsia="en-US" w:bidi="en-US"/>
        </w:rPr>
        <w:t>Ltd</w:t>
      </w:r>
      <w:r w:rsidRPr="008E6C87">
        <w:rPr>
          <w:color w:val="000000"/>
          <w:sz w:val="24"/>
          <w:szCs w:val="24"/>
          <w:lang w:eastAsia="en-US" w:bidi="en-US"/>
        </w:rPr>
        <w:t xml:space="preserve">. </w:t>
      </w:r>
      <w:r>
        <w:rPr>
          <w:color w:val="000000"/>
          <w:sz w:val="24"/>
          <w:szCs w:val="24"/>
          <w:lang w:bidi="ru-RU"/>
        </w:rPr>
        <w:t>(Китай), и соответственно не включено в реестр российской промышленной продукции как продукция, произведённая на территории РФ.</w:t>
      </w:r>
    </w:p>
    <w:p w:rsidR="00367E6E" w:rsidRDefault="008E6C87">
      <w:pPr>
        <w:pStyle w:val="22"/>
        <w:shd w:val="clear" w:color="auto" w:fill="auto"/>
        <w:tabs>
          <w:tab w:val="left" w:pos="790"/>
        </w:tabs>
        <w:spacing w:after="0" w:line="240" w:lineRule="auto"/>
        <w:ind w:firstLine="709"/>
        <w:jc w:val="both"/>
        <w:rPr>
          <w:sz w:val="24"/>
          <w:szCs w:val="24"/>
        </w:rPr>
      </w:pPr>
      <w:r>
        <w:rPr>
          <w:color w:val="000000"/>
          <w:sz w:val="24"/>
          <w:szCs w:val="24"/>
          <w:lang w:bidi="ru-RU"/>
        </w:rPr>
        <w:t xml:space="preserve">Изделие </w:t>
      </w:r>
      <w:r>
        <w:rPr>
          <w:color w:val="000000"/>
          <w:sz w:val="24"/>
          <w:szCs w:val="24"/>
          <w:lang w:val="en-US" w:eastAsia="en-US" w:bidi="en-US"/>
        </w:rPr>
        <w:t>TR</w:t>
      </w:r>
      <w:r w:rsidRPr="008E6C87">
        <w:rPr>
          <w:color w:val="000000"/>
          <w:sz w:val="24"/>
          <w:szCs w:val="24"/>
          <w:lang w:eastAsia="en-US" w:bidi="en-US"/>
        </w:rPr>
        <w:t>-</w:t>
      </w:r>
      <w:r>
        <w:rPr>
          <w:color w:val="000000"/>
          <w:sz w:val="24"/>
          <w:szCs w:val="24"/>
          <w:lang w:val="en-US" w:eastAsia="en-US" w:bidi="en-US"/>
        </w:rPr>
        <w:t>Band</w:t>
      </w:r>
      <w:r w:rsidRPr="008E6C87">
        <w:rPr>
          <w:color w:val="000000"/>
          <w:sz w:val="24"/>
          <w:szCs w:val="24"/>
          <w:lang w:eastAsia="en-US" w:bidi="en-US"/>
        </w:rPr>
        <w:t xml:space="preserve"> </w:t>
      </w:r>
      <w:r>
        <w:rPr>
          <w:color w:val="000000"/>
          <w:sz w:val="24"/>
          <w:szCs w:val="24"/>
          <w:lang w:bidi="ru-RU"/>
        </w:rPr>
        <w:t xml:space="preserve">(РЗН 2016/3922) производится </w:t>
      </w:r>
      <w:r>
        <w:rPr>
          <w:color w:val="000000"/>
          <w:sz w:val="24"/>
          <w:szCs w:val="24"/>
          <w:lang w:val="en-US" w:eastAsia="en-US" w:bidi="en-US"/>
        </w:rPr>
        <w:t>Terumo</w:t>
      </w:r>
      <w:r w:rsidRPr="008E6C87">
        <w:rPr>
          <w:color w:val="000000"/>
          <w:sz w:val="24"/>
          <w:szCs w:val="24"/>
          <w:lang w:eastAsia="en-US" w:bidi="en-US"/>
        </w:rPr>
        <w:t xml:space="preserve"> </w:t>
      </w:r>
      <w:r>
        <w:rPr>
          <w:color w:val="000000"/>
          <w:sz w:val="24"/>
          <w:szCs w:val="24"/>
          <w:lang w:val="en-US" w:eastAsia="en-US" w:bidi="en-US"/>
        </w:rPr>
        <w:t>Corporation</w:t>
      </w:r>
      <w:r w:rsidRPr="008E6C87">
        <w:rPr>
          <w:color w:val="000000"/>
          <w:sz w:val="24"/>
          <w:szCs w:val="24"/>
          <w:lang w:eastAsia="en-US" w:bidi="en-US"/>
        </w:rPr>
        <w:t xml:space="preserve"> </w:t>
      </w:r>
      <w:r>
        <w:rPr>
          <w:color w:val="000000"/>
          <w:sz w:val="24"/>
          <w:szCs w:val="24"/>
          <w:lang w:bidi="ru-RU"/>
        </w:rPr>
        <w:t>(Япония) — также иностранная продукция</w:t>
      </w:r>
      <w:r>
        <w:rPr>
          <w:color w:val="000000"/>
          <w:sz w:val="24"/>
          <w:szCs w:val="24"/>
          <w:lang w:bidi="ru-RU"/>
        </w:rPr>
        <w:t>.</w:t>
      </w:r>
    </w:p>
    <w:p w:rsidR="00367E6E" w:rsidRDefault="008E6C87">
      <w:pPr>
        <w:pStyle w:val="22"/>
        <w:shd w:val="clear" w:color="auto" w:fill="auto"/>
        <w:tabs>
          <w:tab w:val="left" w:pos="790"/>
        </w:tabs>
        <w:spacing w:after="0" w:line="240" w:lineRule="auto"/>
        <w:ind w:firstLine="709"/>
        <w:jc w:val="both"/>
        <w:rPr>
          <w:sz w:val="24"/>
          <w:szCs w:val="24"/>
        </w:rPr>
      </w:pPr>
      <w:r>
        <w:rPr>
          <w:color w:val="000000"/>
          <w:sz w:val="24"/>
          <w:szCs w:val="24"/>
          <w:lang w:bidi="ru-RU"/>
        </w:rPr>
        <w:lastRenderedPageBreak/>
        <w:t xml:space="preserve">Изделие </w:t>
      </w:r>
      <w:r w:rsidRPr="008E6C87">
        <w:rPr>
          <w:color w:val="000000"/>
          <w:sz w:val="24"/>
          <w:szCs w:val="24"/>
          <w:lang w:eastAsia="en-US" w:bidi="en-US"/>
        </w:rPr>
        <w:t>«</w:t>
      </w:r>
      <w:r>
        <w:rPr>
          <w:color w:val="000000"/>
          <w:sz w:val="24"/>
          <w:szCs w:val="24"/>
          <w:lang w:val="en-US" w:eastAsia="en-US" w:bidi="en-US"/>
        </w:rPr>
        <w:t>NewMan</w:t>
      </w:r>
      <w:r w:rsidRPr="008E6C87">
        <w:rPr>
          <w:color w:val="000000"/>
          <w:sz w:val="24"/>
          <w:szCs w:val="24"/>
          <w:lang w:eastAsia="en-US" w:bidi="en-US"/>
        </w:rPr>
        <w:t xml:space="preserve">» </w:t>
      </w:r>
      <w:r>
        <w:rPr>
          <w:color w:val="000000"/>
          <w:sz w:val="24"/>
          <w:szCs w:val="24"/>
          <w:lang w:bidi="ru-RU"/>
        </w:rPr>
        <w:t xml:space="preserve">(РЗН 2023/21033) производства ООО «Ньюмен Технологии» имеет максимальный объём вводимого воздуха </w:t>
      </w:r>
      <w:r>
        <w:rPr>
          <w:rStyle w:val="20"/>
        </w:rPr>
        <w:t xml:space="preserve">20 мл, </w:t>
      </w:r>
      <w:r>
        <w:rPr>
          <w:color w:val="000000"/>
          <w:sz w:val="24"/>
          <w:szCs w:val="24"/>
          <w:lang w:bidi="ru-RU"/>
        </w:rPr>
        <w:t>что не соответствует потребности заказчика (18 мл).</w:t>
      </w:r>
    </w:p>
    <w:p w:rsidR="00367E6E" w:rsidRDefault="008E6C87">
      <w:pPr>
        <w:pStyle w:val="33"/>
        <w:shd w:val="clear" w:color="auto" w:fill="auto"/>
        <w:spacing w:line="240" w:lineRule="auto"/>
        <w:ind w:firstLine="709"/>
        <w:jc w:val="both"/>
      </w:pPr>
      <w:r>
        <w:rPr>
          <w:b w:val="0"/>
          <w:bCs w:val="0"/>
          <w:color w:val="000000"/>
          <w:sz w:val="24"/>
          <w:szCs w:val="24"/>
          <w:lang w:bidi="ru-RU"/>
        </w:rPr>
        <w:t>По характеристике «Максимальный объём вводимого воздуха — 18 см</w:t>
      </w:r>
      <w:r>
        <w:rPr>
          <w:b w:val="0"/>
          <w:bCs w:val="0"/>
          <w:color w:val="000000"/>
          <w:sz w:val="24"/>
          <w:szCs w:val="24"/>
          <w:vertAlign w:val="superscript"/>
          <w:lang w:bidi="ru-RU"/>
        </w:rPr>
        <w:t>3</w:t>
      </w:r>
      <w:r>
        <w:rPr>
          <w:b w:val="0"/>
          <w:bCs w:val="0"/>
          <w:color w:val="000000"/>
          <w:sz w:val="24"/>
          <w:szCs w:val="24"/>
          <w:lang w:bidi="ru-RU"/>
        </w:rPr>
        <w:t xml:space="preserve"> (мл)» из пояснен</w:t>
      </w:r>
      <w:r>
        <w:rPr>
          <w:b w:val="0"/>
          <w:bCs w:val="0"/>
          <w:color w:val="000000"/>
          <w:sz w:val="24"/>
          <w:szCs w:val="24"/>
          <w:lang w:bidi="ru-RU"/>
        </w:rPr>
        <w:t>ий Заказчика следует, что объём пневматической камеры — это не произвольный параметр, а конструктивная характеристика, определяющая профиль компрессии.</w:t>
      </w:r>
    </w:p>
    <w:p w:rsidR="00367E6E" w:rsidRDefault="008E6C87">
      <w:pPr>
        <w:pStyle w:val="22"/>
        <w:shd w:val="clear" w:color="auto" w:fill="auto"/>
        <w:spacing w:after="0" w:line="240" w:lineRule="auto"/>
        <w:ind w:firstLine="709"/>
        <w:jc w:val="both"/>
      </w:pPr>
      <w:r>
        <w:rPr>
          <w:color w:val="000000"/>
          <w:sz w:val="24"/>
          <w:szCs w:val="24"/>
          <w:lang w:bidi="ru-RU"/>
        </w:rPr>
        <w:t>Максимальный объём вводимого воздуха напрямую связан с размером пневматической камеры манжеты и её конст</w:t>
      </w:r>
      <w:r>
        <w:rPr>
          <w:color w:val="000000"/>
          <w:sz w:val="24"/>
          <w:szCs w:val="24"/>
          <w:lang w:bidi="ru-RU"/>
        </w:rPr>
        <w:t xml:space="preserve">рукцией. Манжета с максимальным объёмом 18 мл и манжета с максимальным объёмом 20 мл — это </w:t>
      </w:r>
      <w:r>
        <w:rPr>
          <w:rStyle w:val="20"/>
          <w:b w:val="0"/>
          <w:bCs w:val="0"/>
        </w:rPr>
        <w:t xml:space="preserve">изделия с разной конструкцией камеры, </w:t>
      </w:r>
      <w:r>
        <w:rPr>
          <w:color w:val="000000"/>
          <w:sz w:val="24"/>
          <w:szCs w:val="24"/>
          <w:lang w:bidi="ru-RU"/>
        </w:rPr>
        <w:t>что влияет на:</w:t>
      </w:r>
    </w:p>
    <w:p w:rsidR="00367E6E" w:rsidRDefault="008E6C87">
      <w:pPr>
        <w:pStyle w:val="33"/>
        <w:shd w:val="clear" w:color="auto" w:fill="auto"/>
        <w:tabs>
          <w:tab w:val="left" w:pos="790"/>
        </w:tabs>
        <w:spacing w:line="240" w:lineRule="auto"/>
        <w:ind w:firstLine="709"/>
        <w:jc w:val="both"/>
      </w:pPr>
      <w:r>
        <w:rPr>
          <w:b w:val="0"/>
          <w:bCs w:val="0"/>
          <w:color w:val="000000"/>
          <w:sz w:val="24"/>
          <w:szCs w:val="24"/>
          <w:u w:val="single"/>
          <w:lang w:bidi="ru-RU"/>
        </w:rPr>
        <w:t>- площадь и равномерность распределения давления</w:t>
      </w:r>
      <w:r>
        <w:rPr>
          <w:color w:val="000000"/>
          <w:sz w:val="24"/>
          <w:szCs w:val="24"/>
          <w:lang w:bidi="ru-RU"/>
        </w:rPr>
        <w:t xml:space="preserve"> </w:t>
      </w:r>
      <w:r>
        <w:rPr>
          <w:rStyle w:val="32"/>
        </w:rPr>
        <w:t>на лучевую артерию и окружающие ткани;</w:t>
      </w:r>
    </w:p>
    <w:p w:rsidR="00367E6E" w:rsidRDefault="008E6C87">
      <w:pPr>
        <w:pStyle w:val="33"/>
        <w:shd w:val="clear" w:color="auto" w:fill="auto"/>
        <w:tabs>
          <w:tab w:val="left" w:pos="790"/>
        </w:tabs>
        <w:spacing w:line="240" w:lineRule="auto"/>
        <w:ind w:firstLine="709"/>
        <w:jc w:val="both"/>
      </w:pPr>
      <w:r>
        <w:rPr>
          <w:b w:val="0"/>
          <w:bCs w:val="0"/>
          <w:color w:val="000000"/>
          <w:sz w:val="24"/>
          <w:szCs w:val="24"/>
          <w:u w:val="single"/>
          <w:lang w:bidi="ru-RU"/>
        </w:rPr>
        <w:t>- профиль нарастания ком</w:t>
      </w:r>
      <w:r>
        <w:rPr>
          <w:b w:val="0"/>
          <w:bCs w:val="0"/>
          <w:color w:val="000000"/>
          <w:sz w:val="24"/>
          <w:szCs w:val="24"/>
          <w:u w:val="single"/>
          <w:lang w:bidi="ru-RU"/>
        </w:rPr>
        <w:t xml:space="preserve">прессии </w:t>
      </w:r>
      <w:r>
        <w:rPr>
          <w:rStyle w:val="32"/>
        </w:rPr>
        <w:t>при нагнетании воздуха;</w:t>
      </w:r>
    </w:p>
    <w:p w:rsidR="00367E6E" w:rsidRDefault="008E6C87">
      <w:pPr>
        <w:pStyle w:val="22"/>
        <w:shd w:val="clear" w:color="auto" w:fill="auto"/>
        <w:tabs>
          <w:tab w:val="left" w:pos="790"/>
        </w:tabs>
        <w:spacing w:after="0" w:line="240" w:lineRule="auto"/>
        <w:ind w:firstLine="709"/>
      </w:pPr>
      <w:r>
        <w:rPr>
          <w:rStyle w:val="20"/>
          <w:b w:val="0"/>
          <w:bCs w:val="0"/>
          <w:u w:val="single"/>
        </w:rPr>
        <w:t>- геометрию прилегания манжеты</w:t>
      </w:r>
      <w:r>
        <w:rPr>
          <w:rStyle w:val="20"/>
        </w:rPr>
        <w:t xml:space="preserve"> </w:t>
      </w:r>
      <w:r>
        <w:rPr>
          <w:color w:val="000000"/>
          <w:sz w:val="24"/>
          <w:szCs w:val="24"/>
          <w:lang w:bidi="ru-RU"/>
        </w:rPr>
        <w:t xml:space="preserve">к запястью пациента различной окружности. </w:t>
      </w:r>
    </w:p>
    <w:p w:rsidR="00367E6E" w:rsidRDefault="008E6C87">
      <w:pPr>
        <w:ind w:firstLine="709"/>
        <w:jc w:val="both"/>
        <w:rPr>
          <w:sz w:val="24"/>
          <w:szCs w:val="24"/>
        </w:rPr>
      </w:pPr>
      <w:r>
        <w:rPr>
          <w:sz w:val="24"/>
          <w:szCs w:val="24"/>
        </w:rPr>
        <w:t>Таким образом, у</w:t>
      </w:r>
      <w:r>
        <w:rPr>
          <w:color w:val="000000"/>
          <w:sz w:val="24"/>
          <w:szCs w:val="24"/>
          <w:lang w:bidi="ru-RU"/>
        </w:rPr>
        <w:t xml:space="preserve">тверждение Заявителя о том, что «данный параметр не влияет на клинический результат», </w:t>
      </w:r>
      <w:r>
        <w:rPr>
          <w:rStyle w:val="20"/>
          <w:b w:val="0"/>
          <w:bCs w:val="0"/>
        </w:rPr>
        <w:t>не подтверждено</w:t>
      </w:r>
      <w:r>
        <w:rPr>
          <w:rStyle w:val="20"/>
        </w:rPr>
        <w:t xml:space="preserve"> </w:t>
      </w:r>
      <w:r>
        <w:rPr>
          <w:color w:val="000000"/>
          <w:sz w:val="24"/>
          <w:szCs w:val="24"/>
          <w:lang w:bidi="ru-RU"/>
        </w:rPr>
        <w:t xml:space="preserve">какими-либо клиническими </w:t>
      </w:r>
      <w:r>
        <w:rPr>
          <w:color w:val="000000"/>
          <w:sz w:val="24"/>
          <w:szCs w:val="24"/>
          <w:lang w:bidi="ru-RU"/>
        </w:rPr>
        <w:t>исследованиями, рекомендациями профессиональных ассоциаций или нормативными документами.</w:t>
      </w:r>
    </w:p>
    <w:p w:rsidR="00367E6E" w:rsidRDefault="008E6C87">
      <w:pPr>
        <w:pStyle w:val="22"/>
        <w:shd w:val="clear" w:color="auto" w:fill="auto"/>
        <w:spacing w:after="0" w:line="240" w:lineRule="auto"/>
        <w:ind w:firstLine="709"/>
        <w:jc w:val="both"/>
      </w:pPr>
      <w:r>
        <w:rPr>
          <w:color w:val="000000"/>
          <w:sz w:val="24"/>
          <w:szCs w:val="24"/>
          <w:lang w:bidi="ru-RU"/>
        </w:rPr>
        <w:t>Из пояснений Заказчика следует, что точное значение 18 мл обусловлено клинической спецификой контингента пациентов профильного учреждения (характерная окружность запяс</w:t>
      </w:r>
      <w:r>
        <w:rPr>
          <w:color w:val="000000"/>
          <w:sz w:val="24"/>
          <w:szCs w:val="24"/>
          <w:lang w:bidi="ru-RU"/>
        </w:rPr>
        <w:t>тья) и необходимостью получения предсказуемого, воспроизводимого профиля компрессии лучевой артерии — то есть требование прямо связано с объективной потребностью заказчика.</w:t>
      </w:r>
    </w:p>
    <w:p w:rsidR="00367E6E" w:rsidRDefault="008E6C87">
      <w:pPr>
        <w:pStyle w:val="22"/>
        <w:shd w:val="clear" w:color="auto" w:fill="auto"/>
        <w:spacing w:after="0" w:line="240" w:lineRule="auto"/>
        <w:ind w:firstLine="709"/>
        <w:jc w:val="both"/>
        <w:rPr>
          <w:sz w:val="24"/>
          <w:szCs w:val="24"/>
        </w:rPr>
      </w:pPr>
      <w:r>
        <w:rPr>
          <w:color w:val="000000"/>
          <w:sz w:val="24"/>
          <w:szCs w:val="24"/>
          <w:lang w:bidi="ru-RU"/>
        </w:rPr>
        <w:t>Довод Заявителя о том, что объём камеры не влияет на клинический результат, посколь</w:t>
      </w:r>
      <w:r>
        <w:rPr>
          <w:color w:val="000000"/>
          <w:sz w:val="24"/>
          <w:szCs w:val="24"/>
          <w:lang w:bidi="ru-RU"/>
        </w:rPr>
        <w:t>ку «врач вводит столько воздуха, сколько необходимо», не учитывает базовую физику компрессионного гемостаза и не подтверждён.</w:t>
      </w:r>
    </w:p>
    <w:p w:rsidR="00367E6E" w:rsidRDefault="008E6C87">
      <w:pPr>
        <w:pStyle w:val="22"/>
        <w:shd w:val="clear" w:color="auto" w:fill="auto"/>
        <w:spacing w:after="0" w:line="240" w:lineRule="auto"/>
        <w:ind w:firstLine="709"/>
        <w:jc w:val="both"/>
      </w:pPr>
      <w:r>
        <w:rPr>
          <w:color w:val="000000"/>
          <w:sz w:val="24"/>
          <w:szCs w:val="24"/>
          <w:lang w:bidi="ru-RU"/>
        </w:rPr>
        <w:t>Манжета для трансрадиального гемостаза работает по принципу локальной пневмокомпрессии: давление на стенку лучевой артерии определ</w:t>
      </w:r>
      <w:r>
        <w:rPr>
          <w:color w:val="000000"/>
          <w:sz w:val="24"/>
          <w:szCs w:val="24"/>
          <w:lang w:bidi="ru-RU"/>
        </w:rPr>
        <w:t>яется не только количеством введённого воздуха, но и геометрией и податливостью самой пневмокамеры. Это прямо следует из закона Лапласа для цилиндрических/тороидальных оболочек: создаваемое на ткани давление пропорционально натяжению стенки камеры и обратн</w:t>
      </w:r>
      <w:r>
        <w:rPr>
          <w:color w:val="000000"/>
          <w:sz w:val="24"/>
          <w:szCs w:val="24"/>
          <w:lang w:bidi="ru-RU"/>
        </w:rPr>
        <w:t>о</w:t>
      </w:r>
      <w:r>
        <w:rPr>
          <w:color w:val="000000"/>
          <w:sz w:val="24"/>
          <w:szCs w:val="24"/>
          <w:lang w:bidi="ru-RU"/>
        </w:rPr>
        <w:t xml:space="preserve"> </w:t>
      </w:r>
      <w:r>
        <w:rPr>
          <w:color w:val="000000"/>
          <w:sz w:val="24"/>
          <w:szCs w:val="24"/>
          <w:lang w:bidi="ru-RU"/>
        </w:rPr>
        <w:t>пропорционально радиусу её кривизны. Камеры с разным конструктивным объёмом (18 мл и 20 мл) при одинаковом введённом объёме воздуха имеют различную степень растяжения оболочки, различную площадь контакта с запястьем и, соответственно, различный профиль н</w:t>
      </w:r>
      <w:r>
        <w:rPr>
          <w:color w:val="000000"/>
          <w:sz w:val="24"/>
          <w:szCs w:val="24"/>
          <w:lang w:bidi="ru-RU"/>
        </w:rPr>
        <w:t>арастания давления — то есть являются нетождественными исполнениями, а не различающимися лишь маркировкой изделиями.</w:t>
      </w:r>
    </w:p>
    <w:p w:rsidR="00367E6E" w:rsidRDefault="008E6C87">
      <w:pPr>
        <w:pStyle w:val="22"/>
        <w:shd w:val="clear" w:color="auto" w:fill="auto"/>
        <w:spacing w:after="0" w:line="240" w:lineRule="auto"/>
        <w:ind w:firstLine="709"/>
        <w:jc w:val="both"/>
      </w:pPr>
      <w:r>
        <w:rPr>
          <w:color w:val="000000"/>
          <w:sz w:val="24"/>
          <w:szCs w:val="24"/>
          <w:lang w:bidi="ru-RU"/>
        </w:rPr>
        <w:t xml:space="preserve">—Площадь и равномерность распределения давления на лучевую артерию и прилегающие ткани (риск локальной гиперкомпрессии при меньшей площади </w:t>
      </w:r>
      <w:r>
        <w:rPr>
          <w:color w:val="000000"/>
          <w:sz w:val="24"/>
          <w:szCs w:val="24"/>
          <w:lang w:bidi="ru-RU"/>
        </w:rPr>
        <w:t>контакта);</w:t>
      </w:r>
    </w:p>
    <w:p w:rsidR="00367E6E" w:rsidRDefault="008E6C87">
      <w:pPr>
        <w:pStyle w:val="22"/>
        <w:shd w:val="clear" w:color="auto" w:fill="auto"/>
        <w:spacing w:after="0" w:line="240" w:lineRule="auto"/>
        <w:ind w:firstLine="709"/>
        <w:jc w:val="both"/>
      </w:pPr>
      <w:r>
        <w:rPr>
          <w:color w:val="000000"/>
          <w:sz w:val="24"/>
          <w:szCs w:val="24"/>
          <w:lang w:bidi="ru-RU"/>
        </w:rPr>
        <w:t>—Профиль нарастания компрессии при пошаговой технике (ступенчатой декомпрессии), применяемой для профилактики окклюзии лучевой артерии;</w:t>
      </w:r>
    </w:p>
    <w:p w:rsidR="00367E6E" w:rsidRDefault="008E6C87">
      <w:pPr>
        <w:pStyle w:val="22"/>
        <w:shd w:val="clear" w:color="auto" w:fill="auto"/>
        <w:spacing w:after="0" w:line="240" w:lineRule="auto"/>
        <w:ind w:firstLine="709"/>
        <w:jc w:val="both"/>
      </w:pPr>
      <w:r>
        <w:rPr>
          <w:color w:val="000000"/>
          <w:sz w:val="24"/>
          <w:szCs w:val="24"/>
          <w:lang w:bidi="ru-RU"/>
        </w:rPr>
        <w:t>—Геометрию прилегания манжеты к запястью пациентов с различной окружностью, что напрямую влияет на однороднос</w:t>
      </w:r>
      <w:r>
        <w:rPr>
          <w:color w:val="000000"/>
          <w:sz w:val="24"/>
          <w:szCs w:val="24"/>
          <w:lang w:bidi="ru-RU"/>
        </w:rPr>
        <w:t>ть гемостаза и риск локальных гематом.</w:t>
      </w:r>
    </w:p>
    <w:p w:rsidR="00367E6E" w:rsidRDefault="008E6C87">
      <w:pPr>
        <w:pStyle w:val="22"/>
        <w:shd w:val="clear" w:color="auto" w:fill="auto"/>
        <w:spacing w:after="0" w:line="240" w:lineRule="auto"/>
        <w:ind w:firstLine="709"/>
        <w:jc w:val="both"/>
      </w:pPr>
      <w:r>
        <w:rPr>
          <w:color w:val="000000"/>
          <w:sz w:val="24"/>
          <w:szCs w:val="24"/>
          <w:lang w:bidi="ru-RU"/>
        </w:rPr>
        <w:t>Клиническое значение этих параметров подтверждается тем, что профилактика окклюзии лучевой артерии после трансрадиальных вмешательств (трансрадиальных коронарографии и ЧКВ) является отдельным предметом клинических рекомендаций и протоколов «патент- гемоста</w:t>
      </w:r>
      <w:r>
        <w:rPr>
          <w:color w:val="000000"/>
          <w:sz w:val="24"/>
          <w:szCs w:val="24"/>
          <w:lang w:bidi="ru-RU"/>
        </w:rPr>
        <w:t xml:space="preserve">за» </w:t>
      </w:r>
      <w:r w:rsidRPr="008E6C87">
        <w:rPr>
          <w:color w:val="000000"/>
          <w:sz w:val="24"/>
          <w:szCs w:val="24"/>
          <w:lang w:eastAsia="en-US" w:bidi="en-US"/>
        </w:rPr>
        <w:t>(</w:t>
      </w:r>
      <w:r>
        <w:rPr>
          <w:color w:val="000000"/>
          <w:sz w:val="24"/>
          <w:szCs w:val="24"/>
          <w:lang w:val="en-US" w:eastAsia="en-US" w:bidi="en-US"/>
        </w:rPr>
        <w:t>patent</w:t>
      </w:r>
      <w:r w:rsidRPr="008E6C87">
        <w:rPr>
          <w:color w:val="000000"/>
          <w:sz w:val="24"/>
          <w:szCs w:val="24"/>
          <w:lang w:eastAsia="en-US" w:bidi="en-US"/>
        </w:rPr>
        <w:t xml:space="preserve"> </w:t>
      </w:r>
      <w:r>
        <w:rPr>
          <w:color w:val="000000"/>
          <w:sz w:val="24"/>
          <w:szCs w:val="24"/>
          <w:lang w:val="en-US" w:eastAsia="en-US" w:bidi="en-US"/>
        </w:rPr>
        <w:t>haemostasis</w:t>
      </w:r>
      <w:r w:rsidRPr="008E6C87">
        <w:rPr>
          <w:color w:val="000000"/>
          <w:sz w:val="24"/>
          <w:szCs w:val="24"/>
          <w:lang w:eastAsia="en-US" w:bidi="en-US"/>
        </w:rPr>
        <w:t xml:space="preserve">), </w:t>
      </w:r>
      <w:r>
        <w:rPr>
          <w:color w:val="000000"/>
          <w:sz w:val="24"/>
          <w:szCs w:val="24"/>
          <w:lang w:bidi="ru-RU"/>
        </w:rPr>
        <w:t>в основе которых лежит именно контролируемое, минимально достаточное и равномерное давление компрессии, а не произвольный объём нагнетания. Использование манжеты с иной геометрией камеры меняет достижимый диапазон и предсказуемост</w:t>
      </w:r>
      <w:r>
        <w:rPr>
          <w:color w:val="000000"/>
          <w:sz w:val="24"/>
          <w:szCs w:val="24"/>
          <w:lang w:bidi="ru-RU"/>
        </w:rPr>
        <w:t>ь такого давления даже при формально «подстраиваемом» враче объёме воздуха, что напрямую влияет на частоту осложнений (окклюзия, кровотечение, гематома предплечья).</w:t>
      </w:r>
    </w:p>
    <w:p w:rsidR="00367E6E" w:rsidRDefault="008E6C87">
      <w:pPr>
        <w:pStyle w:val="22"/>
        <w:shd w:val="clear" w:color="auto" w:fill="auto"/>
        <w:spacing w:after="0" w:line="240" w:lineRule="auto"/>
        <w:ind w:firstLine="709"/>
        <w:jc w:val="both"/>
      </w:pPr>
      <w:r>
        <w:rPr>
          <w:color w:val="000000"/>
          <w:sz w:val="24"/>
          <w:szCs w:val="24"/>
          <w:lang w:bidi="ru-RU"/>
        </w:rPr>
        <w:t>Таким образом, утверждение Заявителя о клинической идентичности изделий с камерой 18 мл и 2</w:t>
      </w:r>
      <w:r>
        <w:rPr>
          <w:color w:val="000000"/>
          <w:sz w:val="24"/>
          <w:szCs w:val="24"/>
          <w:lang w:bidi="ru-RU"/>
        </w:rPr>
        <w:t>0 мл не подтверждено ни клиническими исследованиями, ни методическими рекомендациями профессиональных медицинских ассоциаций, ни нормативно-технической документацией производителя.</w:t>
      </w:r>
    </w:p>
    <w:p w:rsidR="00367E6E" w:rsidRDefault="008E6C87">
      <w:pPr>
        <w:pStyle w:val="22"/>
        <w:shd w:val="clear" w:color="auto" w:fill="auto"/>
        <w:spacing w:after="0" w:line="240" w:lineRule="auto"/>
        <w:ind w:firstLine="709"/>
        <w:jc w:val="both"/>
      </w:pPr>
      <w:r>
        <w:rPr>
          <w:color w:val="000000"/>
          <w:sz w:val="24"/>
          <w:szCs w:val="24"/>
          <w:lang w:bidi="ru-RU"/>
        </w:rPr>
        <w:t>Разница между 18 мл и 20 мл составляет 11,1 % от максимального объёма камер</w:t>
      </w:r>
      <w:r>
        <w:rPr>
          <w:color w:val="000000"/>
          <w:sz w:val="24"/>
          <w:szCs w:val="24"/>
          <w:lang w:bidi="ru-RU"/>
        </w:rPr>
        <w:t xml:space="preserve">ы, установленного заказчиком. С инженерной точки зрения это не погрешность измерения и не </w:t>
      </w:r>
      <w:r>
        <w:rPr>
          <w:color w:val="000000"/>
          <w:sz w:val="24"/>
          <w:szCs w:val="24"/>
          <w:lang w:bidi="ru-RU"/>
        </w:rPr>
        <w:lastRenderedPageBreak/>
        <w:t>технологический допуск производства (которые для изделий такого класса обычно не превышают 2-5 %), а осознанное конструктивное решение производителя, определяющее тип</w:t>
      </w:r>
      <w:r>
        <w:rPr>
          <w:color w:val="000000"/>
          <w:sz w:val="24"/>
          <w:szCs w:val="24"/>
          <w:lang w:bidi="ru-RU"/>
        </w:rPr>
        <w:t>оразмер и рабочий диапазон изделия.</w:t>
      </w:r>
    </w:p>
    <w:p w:rsidR="00367E6E" w:rsidRDefault="008E6C87">
      <w:pPr>
        <w:pStyle w:val="22"/>
        <w:shd w:val="clear" w:color="auto" w:fill="auto"/>
        <w:spacing w:after="0" w:line="240" w:lineRule="auto"/>
        <w:ind w:firstLine="709"/>
        <w:jc w:val="both"/>
      </w:pPr>
      <w:r>
        <w:rPr>
          <w:color w:val="000000"/>
          <w:sz w:val="24"/>
          <w:szCs w:val="24"/>
          <w:lang w:bidi="ru-RU"/>
        </w:rPr>
        <w:t>Довод Заявителя о том, что при накачивании камеры объёмом 20 мл до «рабочей точки», например 15 мл, создаётся такое же давление, как при накачивании камеры 18 мл до того же объёма, не учитывает, что коэффициент растяжимо</w:t>
      </w:r>
      <w:r>
        <w:rPr>
          <w:color w:val="000000"/>
          <w:sz w:val="24"/>
          <w:szCs w:val="24"/>
          <w:lang w:bidi="ru-RU"/>
        </w:rPr>
        <w:t>сти оболочки и достигаемая степень наполнения камеры (отношение введённого объёма к максимальному) у изделий разной конструкции не совпадают при одинаковом номинальном объёме воздуха — а значит, при одном и том же объёме нагнетания давление и площадь конта</w:t>
      </w:r>
      <w:r>
        <w:rPr>
          <w:color w:val="000000"/>
          <w:sz w:val="24"/>
          <w:szCs w:val="24"/>
          <w:lang w:bidi="ru-RU"/>
        </w:rPr>
        <w:t>кта также будут отличаться.</w:t>
      </w:r>
    </w:p>
    <w:p w:rsidR="00367E6E" w:rsidRDefault="008E6C87">
      <w:pPr>
        <w:pStyle w:val="22"/>
        <w:shd w:val="clear" w:color="auto" w:fill="auto"/>
        <w:spacing w:after="0" w:line="240" w:lineRule="auto"/>
        <w:ind w:firstLine="709"/>
        <w:jc w:val="both"/>
        <w:rPr>
          <w:sz w:val="24"/>
          <w:szCs w:val="24"/>
        </w:rPr>
      </w:pPr>
      <w:r>
        <w:rPr>
          <w:color w:val="000000"/>
          <w:sz w:val="24"/>
          <w:szCs w:val="24"/>
          <w:lang w:bidi="ru-RU"/>
        </w:rPr>
        <w:t>Диапазон «от 18 до 22 мл» или «не менее 18 мл» не соответствует его клинической потребности Заказчика. Потребность заказчика — манжета с объёмом камеры 18 мл, и именно такое изделие ему требуется.</w:t>
      </w:r>
    </w:p>
    <w:p w:rsidR="00367E6E" w:rsidRDefault="008E6C87">
      <w:pPr>
        <w:pStyle w:val="22"/>
        <w:shd w:val="clear" w:color="auto" w:fill="auto"/>
        <w:spacing w:after="0" w:line="240" w:lineRule="auto"/>
        <w:ind w:firstLine="709"/>
        <w:jc w:val="both"/>
        <w:rPr>
          <w:sz w:val="24"/>
          <w:szCs w:val="24"/>
        </w:rPr>
      </w:pPr>
      <w:r>
        <w:rPr>
          <w:color w:val="000000"/>
          <w:sz w:val="24"/>
          <w:szCs w:val="24"/>
          <w:lang w:bidi="ru-RU"/>
        </w:rPr>
        <w:t>Из пояснений Заказчика следует,</w:t>
      </w:r>
      <w:r>
        <w:rPr>
          <w:color w:val="000000"/>
          <w:sz w:val="24"/>
          <w:szCs w:val="24"/>
          <w:lang w:bidi="ru-RU"/>
        </w:rPr>
        <w:t xml:space="preserve"> что значение </w:t>
      </w:r>
      <w:r>
        <w:rPr>
          <w:b/>
          <w:bCs/>
          <w:color w:val="000000"/>
          <w:sz w:val="24"/>
          <w:szCs w:val="24"/>
          <w:lang w:bidi="ru-RU"/>
        </w:rPr>
        <w:t xml:space="preserve">длины манжеты 24 см </w:t>
      </w:r>
      <w:r>
        <w:rPr>
          <w:color w:val="000000"/>
          <w:sz w:val="24"/>
          <w:szCs w:val="24"/>
          <w:lang w:bidi="ru-RU"/>
        </w:rPr>
        <w:t>установлено в соответствии с типоразмером, необходимым заказчику для пациентов соответствующей окружности запястья, и соответствует стандартному ряду типоразмеров манжет для компрессионного гемостаза лучевой артерии, приме</w:t>
      </w:r>
      <w:r>
        <w:rPr>
          <w:color w:val="000000"/>
          <w:sz w:val="24"/>
          <w:szCs w:val="24"/>
          <w:lang w:bidi="ru-RU"/>
        </w:rPr>
        <w:t>няемых в клинической практике. Данное значение не является уникальным техническим решением одного производителя и само по себе не ограничивает конкуренцию.</w:t>
      </w:r>
    </w:p>
    <w:p w:rsidR="00367E6E" w:rsidRDefault="008E6C87">
      <w:pPr>
        <w:pStyle w:val="22"/>
        <w:shd w:val="clear" w:color="auto" w:fill="auto"/>
        <w:spacing w:after="0" w:line="240" w:lineRule="auto"/>
        <w:ind w:firstLine="709"/>
        <w:jc w:val="both"/>
      </w:pPr>
      <w:r>
        <w:rPr>
          <w:rStyle w:val="20"/>
        </w:rPr>
        <w:t xml:space="preserve">Шприц для раздувания манжеты — наличие; объём шприца </w:t>
      </w:r>
      <w:r>
        <w:rPr>
          <w:color w:val="000000"/>
          <w:sz w:val="24"/>
          <w:szCs w:val="24"/>
          <w:lang w:bidi="ru-RU"/>
        </w:rPr>
        <w:t xml:space="preserve">&gt; </w:t>
      </w:r>
      <w:r>
        <w:rPr>
          <w:rStyle w:val="20"/>
        </w:rPr>
        <w:t>20 см</w:t>
      </w:r>
      <w:r>
        <w:rPr>
          <w:rStyle w:val="20"/>
          <w:vertAlign w:val="superscript"/>
        </w:rPr>
        <w:t>3</w:t>
      </w:r>
      <w:r>
        <w:rPr>
          <w:rStyle w:val="20"/>
        </w:rPr>
        <w:t xml:space="preserve">. </w:t>
      </w:r>
      <w:r>
        <w:rPr>
          <w:color w:val="000000"/>
          <w:sz w:val="24"/>
          <w:szCs w:val="24"/>
          <w:lang w:bidi="ru-RU"/>
        </w:rPr>
        <w:t>Требование к объёму шприца обусловлен</w:t>
      </w:r>
      <w:r>
        <w:rPr>
          <w:color w:val="000000"/>
          <w:sz w:val="24"/>
          <w:szCs w:val="24"/>
          <w:lang w:bidi="ru-RU"/>
        </w:rPr>
        <w:t>о необходимостью обеспечения технологического запаса для полного и контролируемого раздувания камеры объёмом до 18 мл без повторного нагнетания (что клинически важно для непрерывности компрессии и минимизации манипуляций на области пункции). При объёме кам</w:t>
      </w:r>
      <w:r>
        <w:rPr>
          <w:color w:val="000000"/>
          <w:sz w:val="24"/>
          <w:szCs w:val="24"/>
          <w:lang w:bidi="ru-RU"/>
        </w:rPr>
        <w:t>еры 18 мл шприц объёмом 20 см</w:t>
      </w:r>
      <w:r>
        <w:rPr>
          <w:color w:val="000000"/>
          <w:sz w:val="24"/>
          <w:szCs w:val="24"/>
          <w:vertAlign w:val="superscript"/>
          <w:lang w:bidi="ru-RU"/>
        </w:rPr>
        <w:t xml:space="preserve">3 </w:t>
      </w:r>
      <w:r>
        <w:rPr>
          <w:color w:val="000000"/>
          <w:sz w:val="24"/>
          <w:szCs w:val="24"/>
          <w:lang w:bidi="ru-RU"/>
        </w:rPr>
        <w:t>обеспечивает необходимый запас в 2 мл для точной коррекции давления.</w:t>
      </w:r>
    </w:p>
    <w:p w:rsidR="00367E6E" w:rsidRDefault="008E6C87">
      <w:pPr>
        <w:pStyle w:val="22"/>
        <w:shd w:val="clear" w:color="auto" w:fill="auto"/>
        <w:spacing w:after="0" w:line="240" w:lineRule="auto"/>
        <w:ind w:firstLine="709"/>
        <w:jc w:val="both"/>
        <w:rPr>
          <w:sz w:val="24"/>
          <w:szCs w:val="24"/>
        </w:rPr>
      </w:pPr>
      <w:r>
        <w:rPr>
          <w:color w:val="000000"/>
          <w:sz w:val="24"/>
          <w:szCs w:val="24"/>
          <w:lang w:bidi="ru-RU"/>
        </w:rPr>
        <w:t xml:space="preserve">Довод Заявителя о взаимозаменяемости не учитывает, что для изделия самого Заявителя (камера объёмом 20 мл) шприц объёмом 20 мл не создаёт технологического </w:t>
      </w:r>
      <w:r>
        <w:rPr>
          <w:color w:val="000000"/>
          <w:sz w:val="24"/>
          <w:szCs w:val="24"/>
          <w:lang w:bidi="ru-RU"/>
        </w:rPr>
        <w:t>запаса вообще, то есть является предельным («впритык») и не обеспечивает возможности плавной корректировки давления в процессе гемостаза. Это дополнительно подтверждает, что предложение Заявителя не является эквивалентной заменой требуемой заказчиком конфи</w:t>
      </w:r>
      <w:r>
        <w:rPr>
          <w:color w:val="000000"/>
          <w:sz w:val="24"/>
          <w:szCs w:val="24"/>
          <w:lang w:bidi="ru-RU"/>
        </w:rPr>
        <w:t>гурации изделия, а представляет собой изделие с иными эксплуатационными свойствами.</w:t>
      </w:r>
    </w:p>
    <w:p w:rsidR="00367E6E" w:rsidRDefault="008E6C87">
      <w:pPr>
        <w:pStyle w:val="22"/>
        <w:shd w:val="clear" w:color="auto" w:fill="auto"/>
        <w:spacing w:after="0" w:line="240" w:lineRule="auto"/>
        <w:ind w:firstLine="709"/>
        <w:jc w:val="both"/>
      </w:pPr>
      <w:r>
        <w:rPr>
          <w:rStyle w:val="20"/>
        </w:rPr>
        <w:t xml:space="preserve">Прозрачное окно для позиционирования манжеты — наличие. </w:t>
      </w:r>
      <w:r>
        <w:rPr>
          <w:color w:val="000000"/>
          <w:sz w:val="24"/>
          <w:szCs w:val="24"/>
          <w:lang w:bidi="ru-RU"/>
        </w:rPr>
        <w:t xml:space="preserve">Стандартное клиническое требование, обеспечивающее визуальный контроль места пункции. </w:t>
      </w:r>
    </w:p>
    <w:p w:rsidR="00367E6E" w:rsidRDefault="008E6C87">
      <w:pPr>
        <w:ind w:firstLine="709"/>
        <w:jc w:val="both"/>
        <w:rPr>
          <w:sz w:val="24"/>
          <w:szCs w:val="24"/>
        </w:rPr>
      </w:pPr>
      <w:r>
        <w:rPr>
          <w:sz w:val="24"/>
          <w:szCs w:val="24"/>
        </w:rPr>
        <w:t>Таким образом, установив выше</w:t>
      </w:r>
      <w:r>
        <w:rPr>
          <w:sz w:val="24"/>
          <w:szCs w:val="24"/>
        </w:rPr>
        <w:t>указанные требования, Заказчик фактически обозначил конкретные характеристики товара, потребность в которых обусловлена спецификой его деятельности, следовательно, описание объекта закупки электронного аукциона не противоречит Закону о контрактной системе.</w:t>
      </w:r>
    </w:p>
    <w:p w:rsidR="00367E6E" w:rsidRDefault="008E6C87">
      <w:pPr>
        <w:ind w:firstLine="709"/>
        <w:jc w:val="both"/>
        <w:rPr>
          <w:sz w:val="24"/>
          <w:szCs w:val="24"/>
        </w:rPr>
      </w:pPr>
      <w:r>
        <w:rPr>
          <w:sz w:val="24"/>
          <w:szCs w:val="24"/>
        </w:rPr>
        <w:t>Заявителем не представлено доказательств и документов, подтверждающих, что указание Заказчиком при составлении описания объекта закупки характеристик, соответствующих потребности заказчика, повлекли каким-либо образом ограничение конкуренции и ущемили пра</w:t>
      </w:r>
      <w:r>
        <w:rPr>
          <w:sz w:val="24"/>
          <w:szCs w:val="24"/>
        </w:rPr>
        <w:t>ва и законные интересы Заявителя или иных лиц.</w:t>
      </w:r>
    </w:p>
    <w:p w:rsidR="00367E6E" w:rsidRDefault="008E6C87">
      <w:pPr>
        <w:ind w:firstLine="709"/>
        <w:jc w:val="both"/>
        <w:rPr>
          <w:sz w:val="24"/>
          <w:szCs w:val="24"/>
        </w:rPr>
      </w:pPr>
      <w:r>
        <w:rPr>
          <w:color w:val="000000"/>
          <w:sz w:val="24"/>
          <w:szCs w:val="24"/>
        </w:rPr>
        <w:t>Комиссия, руководствуясь ч. 1, 3, 4 ст. 105 и на основании ч. 15 ст. 99, ч. 8 ст. 106 Федерального закона от 05.04.2013 № 44-ФЗ «О контрактной системе в сфере закупок товаров, работ, услуг для обеспечения госу</w:t>
      </w:r>
      <w:r>
        <w:rPr>
          <w:color w:val="000000"/>
          <w:sz w:val="24"/>
          <w:szCs w:val="24"/>
        </w:rPr>
        <w:t>дарственных и муниципальных нужд»,</w:t>
      </w:r>
    </w:p>
    <w:p w:rsidR="00367E6E" w:rsidRDefault="00367E6E">
      <w:pPr>
        <w:ind w:firstLine="709"/>
        <w:jc w:val="both"/>
        <w:rPr>
          <w:color w:val="000000"/>
          <w:sz w:val="24"/>
          <w:szCs w:val="24"/>
        </w:rPr>
      </w:pPr>
    </w:p>
    <w:p w:rsidR="00367E6E" w:rsidRDefault="008E6C87">
      <w:pPr>
        <w:ind w:firstLine="567"/>
        <w:jc w:val="center"/>
        <w:rPr>
          <w:sz w:val="24"/>
          <w:szCs w:val="24"/>
        </w:rPr>
      </w:pPr>
      <w:r>
        <w:rPr>
          <w:b/>
          <w:color w:val="000000"/>
          <w:sz w:val="24"/>
          <w:szCs w:val="24"/>
        </w:rPr>
        <w:t>РЕШИЛА:</w:t>
      </w:r>
    </w:p>
    <w:p w:rsidR="00367E6E" w:rsidRDefault="008E6C87">
      <w:pPr>
        <w:numPr>
          <w:ilvl w:val="0"/>
          <w:numId w:val="4"/>
        </w:numPr>
        <w:jc w:val="both"/>
        <w:rPr>
          <w:sz w:val="24"/>
          <w:szCs w:val="24"/>
        </w:rPr>
      </w:pPr>
      <w:r>
        <w:rPr>
          <w:sz w:val="24"/>
          <w:szCs w:val="24"/>
        </w:rPr>
        <w:t xml:space="preserve">Признать жалобу ООО «НЬЮМЕН ТЕХНОЛОГИИ» необоснованной.     </w:t>
      </w:r>
    </w:p>
    <w:p w:rsidR="00367E6E" w:rsidRDefault="008E6C87">
      <w:pPr>
        <w:numPr>
          <w:ilvl w:val="0"/>
          <w:numId w:val="5"/>
        </w:numPr>
        <w:jc w:val="both"/>
        <w:rPr>
          <w:sz w:val="24"/>
          <w:szCs w:val="24"/>
        </w:rPr>
      </w:pPr>
      <w:r>
        <w:rPr>
          <w:sz w:val="24"/>
          <w:szCs w:val="24"/>
        </w:rPr>
        <w:t xml:space="preserve">Отменить приостановление определения поставщика (подрядчика, исполнителя) в части подписания контракта (извещение № </w:t>
      </w:r>
      <w:r>
        <w:rPr>
          <w:color w:val="000000"/>
          <w:sz w:val="24"/>
          <w:szCs w:val="24"/>
        </w:rPr>
        <w:t>0818500000826006046</w:t>
      </w:r>
      <w:r>
        <w:rPr>
          <w:sz w:val="24"/>
          <w:szCs w:val="24"/>
        </w:rPr>
        <w:t>).</w:t>
      </w:r>
    </w:p>
    <w:p w:rsidR="00367E6E" w:rsidRDefault="00367E6E">
      <w:pPr>
        <w:jc w:val="both"/>
        <w:rPr>
          <w:color w:val="000000"/>
          <w:sz w:val="24"/>
          <w:szCs w:val="24"/>
        </w:rPr>
      </w:pPr>
    </w:p>
    <w:p w:rsidR="00367E6E" w:rsidRDefault="008E6C87">
      <w:pPr>
        <w:ind w:firstLine="567"/>
        <w:jc w:val="both"/>
        <w:rPr>
          <w:sz w:val="24"/>
          <w:szCs w:val="24"/>
        </w:rPr>
      </w:pPr>
      <w:r>
        <w:rPr>
          <w:color w:val="000000"/>
          <w:sz w:val="24"/>
          <w:szCs w:val="24"/>
        </w:rPr>
        <w:t>Настоящее Ре</w:t>
      </w:r>
      <w:r>
        <w:rPr>
          <w:color w:val="000000"/>
          <w:sz w:val="24"/>
          <w:szCs w:val="24"/>
        </w:rPr>
        <w:t>шение может быть обжаловано в судебном порядке в течение трех месяцев с даты его принятия.</w:t>
      </w:r>
    </w:p>
    <w:p w:rsidR="00367E6E" w:rsidRDefault="00367E6E">
      <w:pPr>
        <w:ind w:firstLine="567"/>
        <w:jc w:val="both"/>
        <w:rPr>
          <w:color w:val="000000"/>
          <w:sz w:val="24"/>
          <w:szCs w:val="24"/>
        </w:rPr>
      </w:pPr>
    </w:p>
    <w:p w:rsidR="00367E6E" w:rsidRDefault="00367E6E">
      <w:bookmarkStart w:id="1" w:name="_GoBack"/>
      <w:bookmarkEnd w:id="1"/>
    </w:p>
    <w:sectPr w:rsidR="00367E6E">
      <w:footerReference w:type="default" r:id="rId13"/>
      <w:pgSz w:w="11906" w:h="16838"/>
      <w:pgMar w:top="709" w:right="851" w:bottom="851" w:left="1134" w:header="0" w:footer="709"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6C87">
      <w:r>
        <w:separator/>
      </w:r>
    </w:p>
  </w:endnote>
  <w:endnote w:type="continuationSeparator" w:id="0">
    <w:p w:rsidR="00000000" w:rsidRDefault="008E6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E6E" w:rsidRDefault="008E6C87">
    <w:pPr>
      <w:pStyle w:val="ab"/>
      <w:jc w:val="right"/>
    </w:pPr>
    <w:r>
      <w:fldChar w:fldCharType="begin"/>
    </w:r>
    <w:r>
      <w:instrText>PAGE</w:instrText>
    </w:r>
    <w:r>
      <w:fldChar w:fldCharType="separate"/>
    </w:r>
    <w:r>
      <w:rPr>
        <w:noProof/>
      </w:rPr>
      <w:t>5</w:t>
    </w:r>
    <w:r>
      <w:fldChar w:fldCharType="end"/>
    </w:r>
  </w:p>
  <w:p w:rsidR="00367E6E" w:rsidRDefault="00367E6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6C87">
      <w:r>
        <w:separator/>
      </w:r>
    </w:p>
  </w:footnote>
  <w:footnote w:type="continuationSeparator" w:id="0">
    <w:p w:rsidR="00000000" w:rsidRDefault="008E6C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4101D"/>
    <w:multiLevelType w:val="multilevel"/>
    <w:tmpl w:val="9CFCF59E"/>
    <w:lvl w:ilvl="0">
      <w:start w:val="1"/>
      <w:numFmt w:val="decimal"/>
      <w:lvlText w:val="%1."/>
      <w:lvlJc w:val="left"/>
      <w:pPr>
        <w:tabs>
          <w:tab w:val="num" w:pos="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A40099A"/>
    <w:multiLevelType w:val="multilevel"/>
    <w:tmpl w:val="F4502298"/>
    <w:lvl w:ilvl="0">
      <w:start w:val="1"/>
      <w:numFmt w:val="decimal"/>
      <w:lvlText w:val="%1."/>
      <w:lvlJc w:val="left"/>
      <w:pPr>
        <w:tabs>
          <w:tab w:val="num" w:pos="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14610AA"/>
    <w:multiLevelType w:val="multilevel"/>
    <w:tmpl w:val="D63ECA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0"/>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367E6E"/>
    <w:rsid w:val="00367E6E"/>
    <w:rsid w:val="008E6C8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41A3F2-40A7-4AD7-A771-65C6B889C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CFF"/>
    <w:rPr>
      <w:rFonts w:ascii="Times New Roman" w:eastAsia="Times New Roman" w:hAnsi="Times New Roman" w:cs="Times New Roman"/>
      <w:sz w:val="20"/>
      <w:szCs w:val="20"/>
      <w:lang w:eastAsia="ru-RU"/>
    </w:rPr>
  </w:style>
  <w:style w:type="paragraph" w:styleId="3">
    <w:name w:val="heading 3"/>
    <w:basedOn w:val="a"/>
    <w:next w:val="a"/>
    <w:link w:val="30"/>
    <w:qFormat/>
    <w:rsid w:val="00D42CFF"/>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qFormat/>
    <w:rsid w:val="00D42CFF"/>
    <w:rPr>
      <w:rFonts w:ascii="Times New Roman" w:eastAsia="Times New Roman" w:hAnsi="Times New Roman" w:cs="Times New Roman"/>
      <w:sz w:val="28"/>
      <w:szCs w:val="20"/>
      <w:lang w:eastAsia="ru-RU"/>
    </w:rPr>
  </w:style>
  <w:style w:type="character" w:customStyle="1" w:styleId="a3">
    <w:name w:val="Нижний колонтитул Знак"/>
    <w:basedOn w:val="a0"/>
    <w:uiPriority w:val="99"/>
    <w:qFormat/>
    <w:rsid w:val="00D42CFF"/>
    <w:rPr>
      <w:rFonts w:ascii="Times New Roman" w:eastAsia="Times New Roman" w:hAnsi="Times New Roman" w:cs="Times New Roman"/>
      <w:sz w:val="20"/>
      <w:szCs w:val="20"/>
      <w:lang w:eastAsia="ru-RU"/>
    </w:rPr>
  </w:style>
  <w:style w:type="character" w:customStyle="1" w:styleId="a4">
    <w:name w:val="Без интервала Знак"/>
    <w:uiPriority w:val="1"/>
    <w:qFormat/>
    <w:locked/>
    <w:rsid w:val="00D42CFF"/>
    <w:rPr>
      <w:rFonts w:ascii="Times New Roman" w:eastAsia="Times New Roman" w:hAnsi="Times New Roman" w:cs="Times New Roman"/>
      <w:sz w:val="20"/>
      <w:szCs w:val="20"/>
      <w:lang w:eastAsia="ar-SA"/>
    </w:rPr>
  </w:style>
  <w:style w:type="character" w:customStyle="1" w:styleId="-">
    <w:name w:val="Интернет-ссылка"/>
    <w:rPr>
      <w:color w:val="000080"/>
      <w:u w:val="single"/>
    </w:rPr>
  </w:style>
  <w:style w:type="character" w:customStyle="1" w:styleId="2">
    <w:name w:val="Основной текст (2)_"/>
    <w:basedOn w:val="a0"/>
    <w:qFormat/>
    <w:rPr>
      <w:rFonts w:ascii="Times New Roman" w:eastAsia="Times New Roman" w:hAnsi="Times New Roman" w:cs="Times New Roman"/>
      <w:b w:val="0"/>
      <w:bCs w:val="0"/>
      <w:i w:val="0"/>
      <w:iCs w:val="0"/>
      <w:caps w:val="0"/>
      <w:smallCaps w:val="0"/>
      <w:strike w:val="0"/>
      <w:dstrike w:val="0"/>
      <w:u w:val="none"/>
    </w:rPr>
  </w:style>
  <w:style w:type="character" w:customStyle="1" w:styleId="20">
    <w:name w:val="Основной текст (2) + Полужирный"/>
    <w:basedOn w:val="2"/>
    <w:qFormat/>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21">
    <w:name w:val="Основной текст (2)"/>
    <w:basedOn w:val="2"/>
    <w:qFormat/>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31">
    <w:name w:val="Основной текст (3)_"/>
    <w:basedOn w:val="a0"/>
    <w:qFormat/>
    <w:rPr>
      <w:rFonts w:ascii="Times New Roman" w:eastAsia="Times New Roman" w:hAnsi="Times New Roman" w:cs="Times New Roman"/>
      <w:b/>
      <w:bCs/>
      <w:i w:val="0"/>
      <w:iCs w:val="0"/>
      <w:caps w:val="0"/>
      <w:smallCaps w:val="0"/>
      <w:strike w:val="0"/>
      <w:dstrike w:val="0"/>
      <w:u w:val="none"/>
    </w:rPr>
  </w:style>
  <w:style w:type="character" w:customStyle="1" w:styleId="32">
    <w:name w:val="Основной текст (3) + Не полужирный"/>
    <w:basedOn w:val="31"/>
    <w:qFormat/>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7">
    <w:name w:val="Основной текст (7)_"/>
    <w:basedOn w:val="a0"/>
    <w:qFormat/>
    <w:rPr>
      <w:rFonts w:ascii="Times New Roman" w:eastAsia="Times New Roman" w:hAnsi="Times New Roman" w:cs="Times New Roman"/>
      <w:b/>
      <w:bCs/>
      <w:i w:val="0"/>
      <w:iCs w:val="0"/>
      <w:caps w:val="0"/>
      <w:smallCaps w:val="0"/>
      <w:strike w:val="0"/>
      <w:dstrike w:val="0"/>
      <w:sz w:val="28"/>
      <w:szCs w:val="28"/>
      <w:u w:val="none"/>
    </w:rPr>
  </w:style>
  <w:style w:type="character" w:customStyle="1" w:styleId="70">
    <w:name w:val="Основной текст (7) + Не полужирный"/>
    <w:basedOn w:val="7"/>
    <w:qFormat/>
    <w:rPr>
      <w:rFonts w:ascii="Times New Roman" w:eastAsia="Times New Roman" w:hAnsi="Times New Roman" w:cs="Times New Roman"/>
      <w:b/>
      <w:bCs/>
      <w:i w:val="0"/>
      <w:iCs w:val="0"/>
      <w:caps w:val="0"/>
      <w:smallCaps w:val="0"/>
      <w:strike w:val="0"/>
      <w:dstrike w:val="0"/>
      <w:color w:val="000000"/>
      <w:spacing w:val="0"/>
      <w:w w:val="100"/>
      <w:sz w:val="28"/>
      <w:szCs w:val="28"/>
      <w:u w:val="none"/>
      <w:lang w:val="ru-RU" w:eastAsia="ru-RU" w:bidi="ru-RU"/>
    </w:rPr>
  </w:style>
  <w:style w:type="character" w:customStyle="1" w:styleId="71">
    <w:name w:val="Основной текст (7)"/>
    <w:basedOn w:val="7"/>
    <w:qFormat/>
    <w:rPr>
      <w:rFonts w:ascii="Times New Roman" w:eastAsia="Times New Roman" w:hAnsi="Times New Roman" w:cs="Times New Roman"/>
      <w:b/>
      <w:bCs/>
      <w:i w:val="0"/>
      <w:iCs w:val="0"/>
      <w:caps w:val="0"/>
      <w:smallCaps w:val="0"/>
      <w:strike w:val="0"/>
      <w:dstrike w:val="0"/>
      <w:color w:val="000000"/>
      <w:spacing w:val="0"/>
      <w:w w:val="100"/>
      <w:sz w:val="28"/>
      <w:szCs w:val="28"/>
      <w:u w:val="single"/>
      <w:lang w:val="ru-RU" w:eastAsia="ru-RU" w:bidi="ru-RU"/>
    </w:rPr>
  </w:style>
  <w:style w:type="character" w:customStyle="1" w:styleId="24pt">
    <w:name w:val="Основной текст (2) + Интервал 4 pt"/>
    <w:basedOn w:val="2"/>
    <w:qFormat/>
    <w:rPr>
      <w:rFonts w:ascii="Times New Roman" w:eastAsia="Times New Roman" w:hAnsi="Times New Roman" w:cs="Times New Roman"/>
      <w:b w:val="0"/>
      <w:bCs w:val="0"/>
      <w:i w:val="0"/>
      <w:iCs w:val="0"/>
      <w:caps w:val="0"/>
      <w:smallCaps w:val="0"/>
      <w:strike w:val="0"/>
      <w:dstrike w:val="0"/>
      <w:color w:val="000000"/>
      <w:spacing w:val="80"/>
      <w:w w:val="100"/>
      <w:u w:val="none"/>
      <w:lang w:val="ru-RU" w:eastAsia="ru-RU" w:bidi="ru-RU"/>
    </w:rPr>
  </w:style>
  <w:style w:type="paragraph" w:customStyle="1" w:styleId="a5">
    <w:name w:val="Заголовок"/>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qFormat/>
    <w:pPr>
      <w:suppressLineNumbers/>
      <w:spacing w:before="120" w:after="120"/>
    </w:pPr>
    <w:rPr>
      <w:rFonts w:cs="Arial"/>
      <w:i/>
      <w:iCs/>
      <w:sz w:val="24"/>
      <w:szCs w:val="24"/>
    </w:rPr>
  </w:style>
  <w:style w:type="paragraph" w:styleId="a9">
    <w:name w:val="index heading"/>
    <w:basedOn w:val="a"/>
    <w:qFormat/>
    <w:pPr>
      <w:suppressLineNumbers/>
    </w:pPr>
    <w:rPr>
      <w:rFonts w:cs="Arial"/>
    </w:rPr>
  </w:style>
  <w:style w:type="paragraph" w:customStyle="1" w:styleId="aa">
    <w:name w:val="Колонтитул"/>
    <w:basedOn w:val="a"/>
    <w:qFormat/>
  </w:style>
  <w:style w:type="paragraph" w:styleId="ab">
    <w:name w:val="footer"/>
    <w:basedOn w:val="a"/>
    <w:uiPriority w:val="99"/>
    <w:unhideWhenUsed/>
    <w:rsid w:val="00D42CFF"/>
    <w:pPr>
      <w:tabs>
        <w:tab w:val="center" w:pos="4677"/>
        <w:tab w:val="right" w:pos="9355"/>
      </w:tabs>
    </w:pPr>
  </w:style>
  <w:style w:type="paragraph" w:styleId="ac">
    <w:name w:val="No Spacing"/>
    <w:uiPriority w:val="1"/>
    <w:qFormat/>
    <w:rsid w:val="00D42CFF"/>
    <w:rPr>
      <w:rFonts w:ascii="Times New Roman" w:eastAsia="Times New Roman" w:hAnsi="Times New Roman" w:cs="Times New Roman"/>
      <w:sz w:val="20"/>
      <w:szCs w:val="20"/>
      <w:lang w:eastAsia="ar-SA"/>
    </w:rPr>
  </w:style>
  <w:style w:type="paragraph" w:customStyle="1" w:styleId="1">
    <w:name w:val="Обычная таблица1"/>
    <w:qFormat/>
    <w:pPr>
      <w:spacing w:after="200" w:line="276" w:lineRule="auto"/>
    </w:pPr>
    <w:rPr>
      <w:rFonts w:cs="Times New Roman"/>
      <w:sz w:val="20"/>
      <w:szCs w:val="20"/>
      <w:lang w:eastAsia="ru-RU"/>
    </w:rPr>
  </w:style>
  <w:style w:type="paragraph" w:styleId="ad">
    <w:name w:val="List Paragraph"/>
    <w:basedOn w:val="a"/>
    <w:qFormat/>
    <w:pPr>
      <w:spacing w:after="160"/>
      <w:ind w:left="720"/>
      <w:contextualSpacing/>
    </w:pPr>
  </w:style>
  <w:style w:type="paragraph" w:customStyle="1" w:styleId="ae">
    <w:name w:val="Содержимое таблицы"/>
    <w:basedOn w:val="a"/>
    <w:qFormat/>
    <w:pPr>
      <w:widowControl w:val="0"/>
      <w:suppressLineNumbers/>
    </w:pPr>
  </w:style>
  <w:style w:type="paragraph" w:customStyle="1" w:styleId="af">
    <w:name w:val="Заголовок таблицы"/>
    <w:basedOn w:val="ae"/>
    <w:qFormat/>
    <w:pPr>
      <w:jc w:val="center"/>
    </w:pPr>
    <w:rPr>
      <w:b/>
      <w:bCs/>
    </w:rPr>
  </w:style>
  <w:style w:type="paragraph" w:customStyle="1" w:styleId="22">
    <w:name w:val="Основной текст (2)"/>
    <w:basedOn w:val="a"/>
    <w:qFormat/>
    <w:pPr>
      <w:widowControl w:val="0"/>
      <w:shd w:val="clear" w:color="auto" w:fill="FFFFFF"/>
      <w:spacing w:after="300" w:line="324" w:lineRule="exact"/>
    </w:pPr>
    <w:rPr>
      <w:sz w:val="28"/>
      <w:szCs w:val="28"/>
    </w:rPr>
  </w:style>
  <w:style w:type="paragraph" w:customStyle="1" w:styleId="23">
    <w:name w:val="Заголовок №2"/>
    <w:basedOn w:val="a"/>
    <w:qFormat/>
    <w:pPr>
      <w:widowControl w:val="0"/>
      <w:shd w:val="clear" w:color="auto" w:fill="FFFFFF"/>
      <w:spacing w:line="278" w:lineRule="exact"/>
      <w:ind w:hanging="360"/>
      <w:jc w:val="center"/>
      <w:outlineLvl w:val="1"/>
    </w:pPr>
    <w:rPr>
      <w:b/>
      <w:bCs/>
    </w:rPr>
  </w:style>
  <w:style w:type="paragraph" w:customStyle="1" w:styleId="33">
    <w:name w:val="Основной текст (3)"/>
    <w:basedOn w:val="a"/>
    <w:qFormat/>
    <w:pPr>
      <w:widowControl w:val="0"/>
      <w:shd w:val="clear" w:color="auto" w:fill="FFFFFF"/>
      <w:spacing w:line="278" w:lineRule="exact"/>
      <w:ind w:hanging="360"/>
      <w:jc w:val="center"/>
    </w:pPr>
    <w:rPr>
      <w:b/>
      <w:bCs/>
    </w:rPr>
  </w:style>
  <w:style w:type="paragraph" w:customStyle="1" w:styleId="72">
    <w:name w:val="Основной текст (7)"/>
    <w:basedOn w:val="a"/>
    <w:qFormat/>
    <w:pPr>
      <w:widowControl w:val="0"/>
      <w:shd w:val="clear" w:color="auto" w:fill="FFFFFF"/>
      <w:spacing w:line="320" w:lineRule="exact"/>
      <w:ind w:firstLine="900"/>
      <w:jc w:val="both"/>
    </w:pPr>
    <w:rPr>
      <w:b/>
      <w:bCs/>
      <w:sz w:val="28"/>
      <w:szCs w:val="28"/>
    </w:rPr>
  </w:style>
  <w:style w:type="table" w:styleId="af0">
    <w:name w:val="Table Grid"/>
    <w:basedOn w:val="a1"/>
    <w:uiPriority w:val="59"/>
    <w:rsid w:val="00D42C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14619/028d357c096803b2f75be5195129b3f8c560d94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508812/d6aec91603ff628ea274b8552ce2849e06e0aa4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55372/b4ac8e685c82491918ee4ebea733c06b7bd0f9a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nsultant.ru/document/cons_doc_LAW_467475/364a873ac2e54d4004021a5af02d6f4a777c1c7b/" TargetMode="External"/><Relationship Id="rId4" Type="http://schemas.openxmlformats.org/officeDocument/2006/relationships/settings" Target="settings.xml"/><Relationship Id="rId9" Type="http://schemas.openxmlformats.org/officeDocument/2006/relationships/hyperlink" Target="https://www.consultant.ru/document/cons_doc_LAW_51403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9E026-0FAB-40C7-B8B8-427B4C510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5</Pages>
  <Words>2778</Words>
  <Characters>15835</Characters>
  <Application>Microsoft Office Word</Application>
  <DocSecurity>0</DocSecurity>
  <Lines>131</Lines>
  <Paragraphs>37</Paragraphs>
  <ScaleCrop>false</ScaleCrop>
  <Company/>
  <LinksUpToDate>false</LinksUpToDate>
  <CharactersWithSpaces>18576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Роготнева Юлия Николаевна</cp:lastModifiedBy>
  <cp:revision>78</cp:revision>
  <cp:lastPrinted>2023-12-06T06:06:00Z</cp:lastPrinted>
  <dcterms:created xsi:type="dcterms:W3CDTF">2023-12-05T06:54:00Z</dcterms:created>
  <dcterms:modified xsi:type="dcterms:W3CDTF">2026-09-23T14:01:00Z</dcterms:modified>
  <dc:language>ru-RU</dc:language>
</cp:coreProperties>
</file>