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  <w:t>РЕШЕНИЕ</w:t>
      </w:r>
    </w:p>
    <w:p>
      <w:pPr>
        <w:pStyle w:val="Normal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  <w:t>по делу № 023/06/105-2007/2026</w:t>
      </w:r>
    </w:p>
    <w:p>
      <w:pPr>
        <w:pStyle w:val="Normal"/>
        <w:jc w:val="center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  <w:t>о нарушении законодательства в сфере закупок товаров, работ, услуг для обеспечения государственных и муниципальных нужд</w:t>
      </w:r>
    </w:p>
    <w:p>
      <w:pPr>
        <w:pStyle w:val="Normal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  <w:lang w:val="en-US"/>
        </w:rPr>
        <w:t xml:space="preserve">14 </w:t>
      </w:r>
      <w:r>
        <w:rPr>
          <w:rFonts w:eastAsia="Times New Roman" w:cs="Times New Roman" w:ascii="Times New Roman" w:hAnsi="Times New Roman"/>
          <w:sz w:val="26"/>
          <w:szCs w:val="26"/>
        </w:rPr>
        <w:t>мая 2026 года                                                                                        г. Краснодар</w:t>
      </w:r>
    </w:p>
    <w:p>
      <w:pPr>
        <w:pStyle w:val="Normal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  <w:tab/>
        <w:t xml:space="preserve">  рассмотрев жалобу ИП Баранзаева Б.Б. на действия заказчика – ГБУЗ «ОД №2» МЗ КК при проведении электронного аукциона: «Поставка изделий медицинского назначения (инструменты хирургические)</w:t>
      </w:r>
      <w:bookmarkStart w:id="0" w:name="_GoBack"/>
      <w:bookmarkEnd w:id="0"/>
      <w:r>
        <w:rPr>
          <w:rFonts w:eastAsia="Times New Roman" w:cs="Times New Roman" w:ascii="Times New Roman" w:hAnsi="Times New Roman"/>
          <w:sz w:val="26"/>
          <w:szCs w:val="26"/>
        </w:rPr>
        <w:t>» (извещение № 0318200077026000237) в части нарушения законодательства о контрактной системе,</w:t>
      </w:r>
    </w:p>
    <w:p>
      <w:pPr>
        <w:pStyle w:val="Normal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  <w:t>УСТАНОВИЛА:</w:t>
      </w:r>
    </w:p>
    <w:p>
      <w:pPr>
        <w:pStyle w:val="Normal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  <w:t>Заявитель указывает, что закупка содержит нарушения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Закон о контрактной системе): по поз.16-17 Описания объекта закупки установлены характеристики, которым не соответствует ни один товар.</w:t>
      </w:r>
    </w:p>
    <w:p>
      <w:pPr>
        <w:pStyle w:val="Normal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  <w:tab/>
        <w:t>Заказчиком предоставлены письменные пояснения, согласно которым извещение соответствует положениям Закона о контрактной системе.</w:t>
      </w:r>
    </w:p>
    <w:p>
      <w:pPr>
        <w:pStyle w:val="Normal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  <w:tab/>
        <w:t>Рассмотрев представленные материалы, Комиссия пришла к следующим выводам.</w:t>
      </w:r>
    </w:p>
    <w:p>
      <w:pPr>
        <w:pStyle w:val="Normal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  <w:tab/>
        <w:t xml:space="preserve">Заказчиком – ГБУЗ «ОД №2» МЗ КК в ЕИС 30.04.2026 размещено извещение о проведении электронного аукциона: </w:t>
      </w:r>
      <w:r>
        <w:rPr>
          <w:rFonts w:eastAsia="Times New Roman" w:cs="Times New Roman" w:ascii="Times New Roman" w:hAnsi="Times New Roman"/>
          <w:sz w:val="26"/>
          <w:szCs w:val="26"/>
        </w:rPr>
        <w:t>«Поставка изделий медицинского назначения (инструменты хирургические» (извещение № 0318200077026000237) с НМЦК 595 106,40 рублей.</w:t>
      </w:r>
    </w:p>
    <w:p>
      <w:pPr>
        <w:pStyle w:val="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  <w:t>В соответствии с ч.2 ст.42 Закона о контрактной системе извещение об осуществлении закупки, если иное не предусмотрено настоящим Федеральным законом, должно содержать следующие электронные документы:</w:t>
      </w:r>
    </w:p>
    <w:p>
      <w:pPr>
        <w:pStyle w:val="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  <w:t>1) описание объекта закупки в соответствии со статьей 33 настоящего Федерального закона;</w:t>
      </w:r>
    </w:p>
    <w:p>
      <w:pPr>
        <w:pStyle w:val="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  <w:t>2) обоснование начальной (максимальной) цены контракта с указанием информации о валюте, используемой для формирования цены контракта и расчетов с поставщиком (подрядчиком, исполнителем), порядка применения официального курса иностранной валюты к рублю Российской Федерации, установленного Центральным банком Российской Федерации и используемого при оплате контракта;</w:t>
      </w:r>
    </w:p>
    <w:p>
      <w:pPr>
        <w:pStyle w:val="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  <w:t>3) требования к содержанию, составу заявки на участие в закупке в соответствии с настоящим Федеральным законом и инструкция по ее заполнению. При этом не допускается установление требований, влекущих за собой ограничение количества участников закупки;</w:t>
      </w:r>
    </w:p>
    <w:p>
      <w:pPr>
        <w:pStyle w:val="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  <w:t>4) порядок рассмотрения и оценки заявок на участие в конкурсах в соответствии с настоящим Федеральным законом;</w:t>
      </w:r>
    </w:p>
    <w:p>
      <w:pPr>
        <w:pStyle w:val="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  <w:t>5) проект контракта.</w:t>
      </w:r>
    </w:p>
    <w:p>
      <w:pPr>
        <w:pStyle w:val="S1"/>
        <w:shd w:val="clear" w:color="auto" w:fill="FFFFFF"/>
        <w:spacing w:beforeAutospacing="0" w:before="0" w:afterAutospacing="0" w:after="300"/>
        <w:ind w:firstLine="708"/>
        <w:jc w:val="both"/>
        <w:rPr>
          <w:color w:val="464C55"/>
          <w:sz w:val="26"/>
          <w:szCs w:val="26"/>
        </w:rPr>
      </w:pPr>
      <w:r>
        <w:rPr>
          <w:color w:val="22272F"/>
          <w:sz w:val="26"/>
          <w:szCs w:val="26"/>
        </w:rPr>
        <w:t>Согласно п.1) ч.1 ст.33 Закона о контрактной системе </w:t>
      </w:r>
      <w:r>
        <w:rPr>
          <w:color w:val="464C55"/>
          <w:sz w:val="26"/>
          <w:szCs w:val="26"/>
        </w:rPr>
        <w:t>заказчик в случаях, предусмотренных настоящим Федеральным законом, при описании объекта закупки должен руководствоваться следующими правилами: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в следующих случаях:</w:t>
      </w:r>
    </w:p>
    <w:p>
      <w:pPr>
        <w:pStyle w:val="S1"/>
        <w:shd w:val="clear" w:color="auto" w:fill="FFFFFF"/>
        <w:spacing w:beforeAutospacing="0" w:before="0" w:afterAutospacing="0" w:after="300"/>
        <w:jc w:val="both"/>
        <w:rPr>
          <w:color w:val="464C55"/>
          <w:sz w:val="26"/>
          <w:szCs w:val="26"/>
        </w:rPr>
      </w:pPr>
      <w:r>
        <w:rPr>
          <w:color w:val="464C55"/>
          <w:sz w:val="26"/>
          <w:szCs w:val="26"/>
        </w:rPr>
        <w:t>а) сопровождение такого указания словами "или эквивалент";</w:t>
      </w:r>
    </w:p>
    <w:p>
      <w:pPr>
        <w:pStyle w:val="S1"/>
        <w:shd w:val="clear" w:color="auto" w:fill="FFFFFF"/>
        <w:spacing w:beforeAutospacing="0" w:before="0" w:afterAutospacing="0" w:after="300"/>
        <w:jc w:val="both"/>
        <w:rPr>
          <w:color w:val="464C55"/>
          <w:sz w:val="26"/>
          <w:szCs w:val="26"/>
        </w:rPr>
      </w:pPr>
      <w:r>
        <w:rPr>
          <w:color w:val="464C55"/>
          <w:sz w:val="26"/>
          <w:szCs w:val="26"/>
        </w:rPr>
        <w:t>б) несовместимость товаров, на которых размещаются другие товарные знаки, и необходимость обеспечения взаимодействия таких товаров с товарами, используемыми заказчиком;</w:t>
      </w:r>
    </w:p>
    <w:p>
      <w:pPr>
        <w:pStyle w:val="S1"/>
        <w:shd w:val="clear" w:color="auto" w:fill="FFFFFF"/>
        <w:spacing w:beforeAutospacing="0" w:before="0" w:afterAutospacing="0" w:after="300"/>
        <w:jc w:val="both"/>
        <w:rPr>
          <w:color w:val="464C55"/>
          <w:sz w:val="26"/>
          <w:szCs w:val="26"/>
        </w:rPr>
      </w:pPr>
      <w:r>
        <w:rPr>
          <w:color w:val="464C55"/>
          <w:sz w:val="26"/>
          <w:szCs w:val="26"/>
        </w:rPr>
        <w:t>в) осуществление закупки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оборудование;</w:t>
      </w:r>
    </w:p>
    <w:p>
      <w:pPr>
        <w:pStyle w:val="S1"/>
        <w:shd w:val="clear" w:color="auto" w:fill="FFFFFF"/>
        <w:spacing w:beforeAutospacing="0" w:before="0" w:afterAutospacing="0" w:after="0"/>
        <w:jc w:val="both"/>
        <w:rPr>
          <w:color w:val="464C55"/>
          <w:sz w:val="26"/>
          <w:szCs w:val="26"/>
        </w:rPr>
      </w:pPr>
      <w:r>
        <w:rPr>
          <w:color w:val="464C55"/>
          <w:sz w:val="26"/>
          <w:szCs w:val="26"/>
        </w:rPr>
        <w:t>г) осуществление закупки медицинских изделий, специализированных продуктов лечебного питания, необходимых для назначения пациенту по медицинским показаниям (индивидуальная непереносимость, по жизненным показаниям) по решению врачебной комиссии, которое фиксируется в медицинской документации пациента и журнале врачебной комиссии. </w:t>
      </w:r>
      <w:r>
        <w:fldChar w:fldCharType="begin"/>
      </w:r>
      <w:r>
        <w:rPr>
          <w:sz w:val="26"/>
          <w:szCs w:val="26"/>
          <w:color w:val="3272C0"/>
        </w:rPr>
        <w:instrText> HYPERLINK "https://base.garant.ru/408401807/13e5f39dbdac86e5a4915e063b0a7798/" \l "block_1000"</w:instrText>
      </w:r>
      <w:r>
        <w:rPr>
          <w:sz w:val="26"/>
          <w:szCs w:val="26"/>
          <w:color w:val="3272C0"/>
        </w:rPr>
        <w:fldChar w:fldCharType="separate"/>
      </w:r>
      <w:r>
        <w:rPr>
          <w:color w:val="3272C0"/>
          <w:sz w:val="26"/>
          <w:szCs w:val="26"/>
        </w:rPr>
        <w:t>Перечень</w:t>
      </w:r>
      <w:r>
        <w:rPr>
          <w:sz w:val="26"/>
          <w:szCs w:val="26"/>
          <w:color w:val="3272C0"/>
        </w:rPr>
        <w:fldChar w:fldCharType="end"/>
      </w:r>
      <w:r>
        <w:rPr>
          <w:color w:val="464C55"/>
          <w:sz w:val="26"/>
          <w:szCs w:val="26"/>
        </w:rPr>
        <w:t> указанных медицинских изделий, специализированных продуктов лечебного питания и </w:t>
      </w:r>
      <w:r>
        <w:fldChar w:fldCharType="begin"/>
      </w:r>
      <w:r>
        <w:rPr>
          <w:sz w:val="26"/>
          <w:szCs w:val="26"/>
          <w:color w:val="3272C0"/>
        </w:rPr>
        <w:instrText> HYPERLINK "https://base.garant.ru/407562325/f4e49e50581f8fb571fcdf9b91d0af76/" \l "block_1000"</w:instrText>
      </w:r>
      <w:r>
        <w:rPr>
          <w:sz w:val="26"/>
          <w:szCs w:val="26"/>
          <w:color w:val="3272C0"/>
        </w:rPr>
        <w:fldChar w:fldCharType="separate"/>
      </w:r>
      <w:r>
        <w:rPr>
          <w:color w:val="3272C0"/>
          <w:sz w:val="26"/>
          <w:szCs w:val="26"/>
        </w:rPr>
        <w:t>порядок</w:t>
      </w:r>
      <w:r>
        <w:rPr>
          <w:sz w:val="26"/>
          <w:szCs w:val="26"/>
          <w:color w:val="3272C0"/>
        </w:rPr>
        <w:fldChar w:fldCharType="end"/>
      </w:r>
      <w:r>
        <w:rPr>
          <w:color w:val="464C55"/>
          <w:sz w:val="26"/>
          <w:szCs w:val="26"/>
        </w:rPr>
        <w:t> его формирования утверждаются Правительством Российской Федерации.</w:t>
      </w:r>
    </w:p>
    <w:p>
      <w:pPr>
        <w:pStyle w:val="Normal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bookmarkStart w:id="1" w:name="dst744"/>
      <w:bookmarkEnd w:id="1"/>
      <w:r>
        <w:rPr>
          <w:rFonts w:cs="Times New Roman" w:ascii="Times New Roman" w:hAnsi="Times New Roman"/>
          <w:sz w:val="26"/>
          <w:szCs w:val="26"/>
        </w:rPr>
        <w:t>В соответствии с ч.2 ст.33 Закона о контрактной системе описание объекта закупки в соответствии с требованиями, указанными в части 1 настоящей статьи, должно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 и (или) значения показателей, которые не могут изменяться.</w:t>
      </w:r>
      <w:r>
        <w:rPr>
          <w:rFonts w:eastAsia="Times New Roman" w:cs="Times New Roman" w:ascii="Times New Roman" w:hAnsi="Times New Roman"/>
          <w:sz w:val="26"/>
          <w:szCs w:val="26"/>
        </w:rPr>
        <w:t xml:space="preserve"> </w:t>
      </w:r>
    </w:p>
    <w:p>
      <w:pPr>
        <w:pStyle w:val="Normal"/>
        <w:ind w:firstLine="540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  <w:t>В Описании объекта закупки заказчиком установлены требования к закупаемому товару – степлер циркулярный внутрипросветный, одноразового использования; степлер линейный ручной для открытых операций, одноразового использования; степлер линейный ручной режущий для открытых операций, одноразового использования; степлер линейный ручной режущий эндоскопический, одноразового использования; троакар эндоскопический, одноразового использования; клипса для лигирования, металлическая; клипса для лигирования, из синтетического полимера, нерассасывающая; клипса для лигирования, из синтетического полимера, нерассасывающая; зажим для фиксации лоскута черепной кости, металлический; ретрактор хирургический самоудерживающийся, одноразового использования.</w:t>
      </w:r>
    </w:p>
    <w:p>
      <w:pPr>
        <w:pStyle w:val="Normal"/>
        <w:ind w:firstLine="540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  <w:t>В частности, в поз.16-17 Описания объекта закупки (Клипсы для лигирования из синтетического полимера, КТРУ 32.50.13.190-00006937) установлены следующие характеристики: диаметр допустимых к лигированию сосудов ≤5 и ≥13мм; диапазон размеров перекрываемых структур ≤7 и ≥16мм.</w:t>
      </w:r>
    </w:p>
    <w:p>
      <w:pPr>
        <w:pStyle w:val="Normal"/>
        <w:ind w:firstLine="540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  <w:t>Заявитель указывает, что согласно математической логике и общепринятым правилам описания диапазонов конструкция ≤Х и ≥</w:t>
      </w:r>
      <w:r>
        <w:rPr>
          <w:rFonts w:eastAsia="Times New Roman" w:cs="Times New Roman" w:ascii="Times New Roman" w:hAnsi="Times New Roman"/>
          <w:sz w:val="26"/>
          <w:szCs w:val="26"/>
          <w:lang w:val="en-US"/>
        </w:rPr>
        <w:t>Y</w:t>
      </w:r>
      <w:r>
        <w:rPr>
          <w:rFonts w:eastAsia="Times New Roman" w:cs="Times New Roman" w:ascii="Times New Roman" w:hAnsi="Times New Roman"/>
          <w:sz w:val="26"/>
          <w:szCs w:val="26"/>
        </w:rPr>
        <w:t xml:space="preserve"> при Х &lt; </w:t>
      </w:r>
      <w:r>
        <w:rPr>
          <w:rFonts w:eastAsia="Times New Roman" w:cs="Times New Roman" w:ascii="Times New Roman" w:hAnsi="Times New Roman"/>
          <w:sz w:val="26"/>
          <w:szCs w:val="26"/>
          <w:lang w:val="en-US"/>
        </w:rPr>
        <w:t>Y</w:t>
      </w:r>
      <w:r>
        <w:rPr>
          <w:rFonts w:eastAsia="Times New Roman" w:cs="Times New Roman" w:ascii="Times New Roman" w:hAnsi="Times New Roman"/>
          <w:sz w:val="26"/>
          <w:szCs w:val="26"/>
        </w:rPr>
        <w:t xml:space="preserve"> не имеет решений в области действительных чисел.</w:t>
      </w:r>
    </w:p>
    <w:p>
      <w:pPr>
        <w:pStyle w:val="Normal"/>
        <w:ind w:firstLine="540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  <w:t xml:space="preserve">В составе извещения закупки размещена Инструкция по заполнению заявки. Комиссией установлено, что по указанным значениям участники закупки указывают в заявке диапазон значений характеристик. Знаки применены к нижней и верхней границе диапазона. </w:t>
      </w:r>
    </w:p>
    <w:p>
      <w:pPr>
        <w:pStyle w:val="Normal"/>
        <w:ind w:firstLine="540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  <w:t>При рассмотрении жалобы Заявителем указано о предложении к поставке товара по ФСЗ 2011/09534, который по диапазону соответствует Описанию (5-13мм, 7-16мм).</w:t>
      </w:r>
    </w:p>
    <w:p>
      <w:pPr>
        <w:pStyle w:val="Normal"/>
        <w:ind w:firstLine="540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  <w:t>Таким образом, заказчик, установив допустимые границы диапазона, не требовал от участников одного конкретного математического значения.</w:t>
      </w:r>
    </w:p>
    <w:p>
      <w:pPr>
        <w:pStyle w:val="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  <w:t>Комиссия, руководствуясь ч.15 ст.99, ч.8 ст.106 Закона о контрактной системе,</w:t>
      </w:r>
    </w:p>
    <w:p>
      <w:pPr>
        <w:pStyle w:val="Normal"/>
        <w:widowControl w:val="false"/>
        <w:numPr>
          <w:ilvl w:val="0"/>
          <w:numId w:val="0"/>
        </w:numPr>
        <w:spacing w:lineRule="auto" w:line="240" w:before="0" w:after="0"/>
        <w:ind w:firstLine="540"/>
        <w:jc w:val="center"/>
        <w:outlineLvl w:val="2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  <w:t>РЕШИЛА:</w:t>
      </w:r>
    </w:p>
    <w:p>
      <w:pPr>
        <w:pStyle w:val="Normal"/>
        <w:widowControl w:val="false"/>
        <w:numPr>
          <w:ilvl w:val="0"/>
          <w:numId w:val="0"/>
        </w:numPr>
        <w:spacing w:lineRule="auto" w:line="240" w:before="0" w:after="0"/>
        <w:ind w:firstLine="540"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</w:r>
    </w:p>
    <w:p>
      <w:pPr>
        <w:pStyle w:val="ListParagraph"/>
        <w:numPr>
          <w:ilvl w:val="0"/>
          <w:numId w:val="1"/>
        </w:numPr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  <w:t>Признать жалобу ИП Баранзаев Б.Б. необоснованной.</w:t>
      </w:r>
    </w:p>
    <w:p>
      <w:pPr>
        <w:pStyle w:val="ListParagraph"/>
        <w:numPr>
          <w:ilvl w:val="0"/>
          <w:numId w:val="1"/>
        </w:numPr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  <w:t>Отменить приостановление определения поставщика (подрядчика, исполнителя) в части подписания контракта.</w:t>
      </w:r>
    </w:p>
    <w:p>
      <w:pPr>
        <w:pStyle w:val="ListParagraph"/>
        <w:ind w:left="1260" w:hanging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  <w:t>Настоящее решение может быть обжаловано в арбитражном суде в течение трех месяцев в установленном законом порядке.</w:t>
      </w:r>
    </w:p>
    <w:p>
      <w:pPr>
        <w:pStyle w:val="ListParagraph"/>
        <w:tabs>
          <w:tab w:val="clear" w:pos="708"/>
          <w:tab w:val="left" w:pos="3889" w:leader="none"/>
        </w:tabs>
        <w:ind w:left="900" w:hanging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  <w:tab/>
      </w:r>
    </w:p>
    <w:p>
      <w:pPr>
        <w:pStyle w:val="ListParagraph"/>
        <w:tabs>
          <w:tab w:val="clear" w:pos="708"/>
          <w:tab w:val="left" w:pos="3889" w:leader="none"/>
        </w:tabs>
        <w:ind w:left="900" w:hanging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</w:r>
    </w:p>
    <w:p>
      <w:pPr>
        <w:pStyle w:val="ListParagraph"/>
        <w:spacing w:before="0" w:after="200"/>
        <w:ind w:left="900" w:hanging="0"/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/>
      </w:r>
    </w:p>
    <w:sectPr>
      <w:type w:val="nextPage"/>
      <w:pgSz w:w="11906" w:h="16838"/>
      <w:pgMar w:left="1701" w:right="850" w:gutter="0" w:header="0" w:top="1134" w:footer="0" w:bottom="1134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Cambria"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12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020" w:hanging="18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32"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3f6393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1">
    <w:name w:val="Heading 1"/>
    <w:basedOn w:val="Normal"/>
    <w:next w:val="Normal"/>
    <w:link w:val="10"/>
    <w:uiPriority w:val="9"/>
    <w:qFormat/>
    <w:rsid w:val="0063166c"/>
    <w:pPr>
      <w:keepNext w:val="true"/>
      <w:keepLines/>
      <w:spacing w:before="240" w:after="0"/>
      <w:outlineLvl w:val="0"/>
    </w:pPr>
    <w:rPr>
      <w:rFonts w:ascii="Cambria" w:hAnsi="Cambria" w:eastAsia="" w:cs="" w:asciiTheme="majorHAnsi" w:cstheme="majorBidi" w:eastAsiaTheme="majorEastAsia" w:hAnsiTheme="majorHAnsi"/>
      <w:color w:val="365F91" w:themeColor="accent1" w:themeShade="bf"/>
      <w:sz w:val="32"/>
      <w:szCs w:val="32"/>
    </w:rPr>
  </w:style>
  <w:style w:type="paragraph" w:styleId="2">
    <w:name w:val="Heading 2"/>
    <w:basedOn w:val="Normal"/>
    <w:link w:val="20"/>
    <w:uiPriority w:val="9"/>
    <w:qFormat/>
    <w:rsid w:val="00457432"/>
    <w:pPr>
      <w:spacing w:lineRule="auto" w:line="240" w:beforeAutospacing="1" w:afterAutospacing="1"/>
      <w:outlineLvl w:val="1"/>
    </w:pPr>
    <w:rPr>
      <w:rFonts w:ascii="Times New Roman" w:hAnsi="Times New Roman" w:eastAsia="Times New Roman" w:cs="Times New Roman"/>
      <w:b/>
      <w:bCs/>
      <w:sz w:val="36"/>
      <w:szCs w:val="36"/>
      <w:lang w:eastAsia="ru-RU"/>
    </w:rPr>
  </w:style>
  <w:style w:type="paragraph" w:styleId="5">
    <w:name w:val="Heading 5"/>
    <w:basedOn w:val="Normal"/>
    <w:next w:val="Normal"/>
    <w:link w:val="50"/>
    <w:uiPriority w:val="9"/>
    <w:semiHidden/>
    <w:unhideWhenUsed/>
    <w:qFormat/>
    <w:rsid w:val="00ad4d22"/>
    <w:pPr>
      <w:keepNext w:val="true"/>
      <w:keepLines/>
      <w:spacing w:before="40" w:after="0"/>
      <w:outlineLvl w:val="4"/>
    </w:pPr>
    <w:rPr>
      <w:rFonts w:ascii="Cambria" w:hAnsi="Cambria" w:eastAsia="" w:cs="" w:asciiTheme="majorHAnsi" w:cstheme="majorBidi" w:eastAsiaTheme="majorEastAsia" w:hAnsiTheme="majorHAnsi"/>
      <w:color w:val="365F91" w:themeColor="accent1" w:themeShade="bf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1">
    <w:name w:val="Интернет-ссылка"/>
    <w:basedOn w:val="DefaultParagraphFont"/>
    <w:uiPriority w:val="99"/>
    <w:unhideWhenUsed/>
    <w:rsid w:val="003f6393"/>
    <w:rPr>
      <w:color w:val="0000FF"/>
      <w:u w:val="single"/>
    </w:rPr>
  </w:style>
  <w:style w:type="character" w:styleId="21" w:customStyle="1">
    <w:name w:val="Заголовок 2 Знак"/>
    <w:basedOn w:val="DefaultParagraphFont"/>
    <w:link w:val="2"/>
    <w:uiPriority w:val="9"/>
    <w:qFormat/>
    <w:rsid w:val="00457432"/>
    <w:rPr>
      <w:rFonts w:ascii="Times New Roman" w:hAnsi="Times New Roman" w:eastAsia="Times New Roman" w:cs="Times New Roman"/>
      <w:b/>
      <w:bCs/>
      <w:sz w:val="36"/>
      <w:szCs w:val="36"/>
      <w:lang w:eastAsia="ru-RU"/>
    </w:rPr>
  </w:style>
  <w:style w:type="character" w:styleId="Sectioninfo" w:customStyle="1">
    <w:name w:val="section__info"/>
    <w:basedOn w:val="DefaultParagraphFont"/>
    <w:qFormat/>
    <w:rsid w:val="00457432"/>
    <w:rPr/>
  </w:style>
  <w:style w:type="character" w:styleId="Sectiontitle" w:customStyle="1">
    <w:name w:val="section__title"/>
    <w:basedOn w:val="DefaultParagraphFont"/>
    <w:qFormat/>
    <w:rsid w:val="00457432"/>
    <w:rPr/>
  </w:style>
  <w:style w:type="character" w:styleId="Timezonename" w:customStyle="1">
    <w:name w:val="timezonename"/>
    <w:basedOn w:val="DefaultParagraphFont"/>
    <w:qFormat/>
    <w:rsid w:val="00457432"/>
    <w:rPr/>
  </w:style>
  <w:style w:type="character" w:styleId="Z" w:customStyle="1">
    <w:name w:val="z-Начало формы Знак"/>
    <w:basedOn w:val="DefaultParagraphFont"/>
    <w:link w:val="z-"/>
    <w:uiPriority w:val="99"/>
    <w:semiHidden/>
    <w:qFormat/>
    <w:rsid w:val="00457432"/>
    <w:rPr>
      <w:rFonts w:ascii="Arial" w:hAnsi="Arial" w:eastAsia="Times New Roman" w:cs="Arial"/>
      <w:vanish/>
      <w:sz w:val="16"/>
      <w:szCs w:val="16"/>
      <w:lang w:eastAsia="ru-RU"/>
    </w:rPr>
  </w:style>
  <w:style w:type="character" w:styleId="Z1" w:customStyle="1">
    <w:name w:val="z-Конец формы Знак"/>
    <w:basedOn w:val="DefaultParagraphFont"/>
    <w:link w:val="z-1"/>
    <w:uiPriority w:val="99"/>
    <w:semiHidden/>
    <w:qFormat/>
    <w:rsid w:val="00457432"/>
    <w:rPr>
      <w:rFonts w:ascii="Arial" w:hAnsi="Arial" w:eastAsia="Times New Roman" w:cs="Arial"/>
      <w:vanish/>
      <w:sz w:val="16"/>
      <w:szCs w:val="16"/>
      <w:lang w:eastAsia="ru-RU"/>
    </w:rPr>
  </w:style>
  <w:style w:type="character" w:styleId="11" w:customStyle="1">
    <w:name w:val="Заголовок 1 Знак"/>
    <w:basedOn w:val="DefaultParagraphFont"/>
    <w:link w:val="1"/>
    <w:uiPriority w:val="9"/>
    <w:qFormat/>
    <w:rsid w:val="0063166c"/>
    <w:rPr>
      <w:rFonts w:ascii="Cambria" w:hAnsi="Cambria" w:eastAsia="" w:cs="" w:asciiTheme="majorHAnsi" w:cstheme="majorBidi" w:eastAsiaTheme="majorEastAsia" w:hAnsiTheme="majorHAnsi"/>
      <w:color w:val="365F91" w:themeColor="accent1" w:themeShade="bf"/>
      <w:sz w:val="32"/>
      <w:szCs w:val="32"/>
    </w:rPr>
  </w:style>
  <w:style w:type="character" w:styleId="51" w:customStyle="1">
    <w:name w:val="Заголовок 5 Знак"/>
    <w:basedOn w:val="DefaultParagraphFont"/>
    <w:link w:val="5"/>
    <w:uiPriority w:val="9"/>
    <w:semiHidden/>
    <w:qFormat/>
    <w:rsid w:val="00ad4d22"/>
    <w:rPr>
      <w:rFonts w:ascii="Cambria" w:hAnsi="Cambria" w:eastAsia="" w:cs="" w:asciiTheme="majorHAnsi" w:cstheme="majorBidi" w:eastAsiaTheme="majorEastAsia" w:hAnsiTheme="majorHAnsi"/>
      <w:color w:val="365F91" w:themeColor="accent1" w:themeShade="bf"/>
    </w:rPr>
  </w:style>
  <w:style w:type="character" w:styleId="ConsPlusNormal" w:customStyle="1">
    <w:name w:val="ConsPlusNormal Знак"/>
    <w:link w:val="ConsPlusNormal0"/>
    <w:qFormat/>
    <w:locked/>
    <w:rsid w:val="00f07904"/>
    <w:rPr>
      <w:rFonts w:ascii="Arial" w:hAnsi="Arial" w:cs="Arial"/>
    </w:rPr>
  </w:style>
  <w:style w:type="character" w:styleId="Style12" w:customStyle="1">
    <w:name w:val="Основной текст_"/>
    <w:basedOn w:val="DefaultParagraphFont"/>
    <w:link w:val="11"/>
    <w:qFormat/>
    <w:locked/>
    <w:rsid w:val="00f07904"/>
    <w:rPr>
      <w:rFonts w:ascii="Times New Roman" w:hAnsi="Times New Roman" w:eastAsia="Times New Roman" w:cs="Times New Roman"/>
    </w:rPr>
  </w:style>
  <w:style w:type="character" w:styleId="Style13" w:customStyle="1">
    <w:name w:val="Текст выноски Знак"/>
    <w:basedOn w:val="DefaultParagraphFont"/>
    <w:link w:val="a7"/>
    <w:uiPriority w:val="99"/>
    <w:semiHidden/>
    <w:qFormat/>
    <w:rsid w:val="0080449b"/>
    <w:rPr>
      <w:rFonts w:ascii="Tahoma" w:hAnsi="Tahoma" w:cs="Tahoma"/>
      <w:sz w:val="16"/>
      <w:szCs w:val="16"/>
    </w:rPr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Ari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Arial"/>
      <w:lang w:val="zxx" w:eastAsia="zxx" w:bidi="zxx"/>
    </w:rPr>
  </w:style>
  <w:style w:type="paragraph" w:styleId="ListParagraph">
    <w:name w:val="List Paragraph"/>
    <w:basedOn w:val="Normal"/>
    <w:uiPriority w:val="34"/>
    <w:qFormat/>
    <w:rsid w:val="003f6393"/>
    <w:pPr>
      <w:spacing w:before="0" w:after="200"/>
      <w:ind w:left="720" w:hanging="0"/>
      <w:contextualSpacing/>
    </w:pPr>
    <w:rPr/>
  </w:style>
  <w:style w:type="paragraph" w:styleId="S1" w:customStyle="1">
    <w:name w:val="s_1"/>
    <w:basedOn w:val="Normal"/>
    <w:qFormat/>
    <w:rsid w:val="003f639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HTMLTopofForm">
    <w:name w:val="HTML Top of Form"/>
    <w:basedOn w:val="Normal"/>
    <w:next w:val="Normal"/>
    <w:link w:val="z-0"/>
    <w:uiPriority w:val="99"/>
    <w:semiHidden/>
    <w:unhideWhenUsed/>
    <w:qFormat/>
    <w:rsid w:val="00457432"/>
    <w:pPr>
      <w:pBdr>
        <w:bottom w:val="single" w:sz="6" w:space="1" w:color="000000"/>
      </w:pBdr>
      <w:spacing w:lineRule="auto" w:line="240" w:before="0" w:after="0"/>
      <w:jc w:val="center"/>
    </w:pPr>
    <w:rPr>
      <w:rFonts w:ascii="Arial" w:hAnsi="Arial" w:eastAsia="Times New Roman" w:cs="Arial"/>
      <w:vanish/>
      <w:sz w:val="16"/>
      <w:szCs w:val="16"/>
      <w:lang w:eastAsia="ru-RU"/>
    </w:rPr>
  </w:style>
  <w:style w:type="paragraph" w:styleId="HTMLBottomofForm">
    <w:name w:val="HTML Bottom of Form"/>
    <w:basedOn w:val="Normal"/>
    <w:next w:val="Normal"/>
    <w:link w:val="z-2"/>
    <w:uiPriority w:val="99"/>
    <w:semiHidden/>
    <w:unhideWhenUsed/>
    <w:qFormat/>
    <w:rsid w:val="00457432"/>
    <w:pPr>
      <w:pBdr>
        <w:top w:val="single" w:sz="6" w:space="1" w:color="000000"/>
      </w:pBdr>
      <w:spacing w:lineRule="auto" w:line="240" w:before="0" w:after="0"/>
      <w:jc w:val="center"/>
    </w:pPr>
    <w:rPr>
      <w:rFonts w:ascii="Arial" w:hAnsi="Arial" w:eastAsia="Times New Roman" w:cs="Arial"/>
      <w:vanish/>
      <w:sz w:val="16"/>
      <w:szCs w:val="16"/>
      <w:lang w:eastAsia="ru-RU"/>
    </w:rPr>
  </w:style>
  <w:style w:type="paragraph" w:styleId="S9" w:customStyle="1">
    <w:name w:val="s_9"/>
    <w:basedOn w:val="Normal"/>
    <w:qFormat/>
    <w:rsid w:val="00736ef7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NormalWeb">
    <w:name w:val="Normal (Web)"/>
    <w:basedOn w:val="Normal"/>
    <w:uiPriority w:val="99"/>
    <w:semiHidden/>
    <w:unhideWhenUsed/>
    <w:qFormat/>
    <w:rsid w:val="00ad4d22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ConsPlusNormal1" w:customStyle="1">
    <w:name w:val="ConsPlusNormal"/>
    <w:link w:val="ConsPlusNormal"/>
    <w:qFormat/>
    <w:rsid w:val="00f07904"/>
    <w:pPr>
      <w:widowControl/>
      <w:bidi w:val="0"/>
      <w:spacing w:lineRule="auto" w:line="240" w:before="0" w:after="0"/>
      <w:jc w:val="left"/>
    </w:pPr>
    <w:rPr>
      <w:rFonts w:ascii="Arial" w:hAnsi="Arial" w:cs="Arial" w:eastAsia="Calibri" w:eastAsiaTheme="minorHAnsi"/>
      <w:color w:val="auto"/>
      <w:kern w:val="0"/>
      <w:sz w:val="22"/>
      <w:szCs w:val="22"/>
      <w:lang w:val="ru-RU" w:eastAsia="en-US" w:bidi="ar-SA"/>
    </w:rPr>
  </w:style>
  <w:style w:type="paragraph" w:styleId="12" w:customStyle="1">
    <w:name w:val="Основной текст1"/>
    <w:basedOn w:val="Normal"/>
    <w:link w:val="a6"/>
    <w:qFormat/>
    <w:rsid w:val="00f07904"/>
    <w:pPr>
      <w:widowControl w:val="false"/>
      <w:spacing w:lineRule="auto" w:line="360" w:before="0" w:after="0"/>
      <w:ind w:firstLine="400"/>
    </w:pPr>
    <w:rPr>
      <w:rFonts w:ascii="Times New Roman" w:hAnsi="Times New Roman" w:eastAsia="Times New Roman" w:cs="Times New Roman"/>
    </w:rPr>
  </w:style>
  <w:style w:type="paragraph" w:styleId="BalloonText">
    <w:name w:val="Balloon Text"/>
    <w:basedOn w:val="Normal"/>
    <w:link w:val="a8"/>
    <w:uiPriority w:val="99"/>
    <w:semiHidden/>
    <w:unhideWhenUsed/>
    <w:qFormat/>
    <w:rsid w:val="0080449b"/>
    <w:pPr>
      <w:spacing w:lineRule="auto" w:line="240" w:before="0" w:after="0"/>
    </w:pPr>
    <w:rPr>
      <w:rFonts w:ascii="Tahoma" w:hAnsi="Tahoma" w:cs="Tahoma"/>
      <w:sz w:val="16"/>
      <w:szCs w:val="16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E5A21E-25F9-4E8E-BD67-B10B566F86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2520</TotalTime>
  <Application>LibreOffice/7.2.5.2$Windows_X86_64 LibreOffice_project/499f9727c189e6ef3471021d6132d4c694f357e5</Application>
  <AppVersion>15.0000</AppVersion>
  <Pages>4</Pages>
  <Words>1136</Words>
  <Characters>6476</Characters>
  <CharactersWithSpaces>7597</CharactersWithSpaces>
  <Paragraphs>15</Paragraphs>
  <Company>Computer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2023-07-02T08:17:00Z</dcterms:created>
  <dc:creator>User</dc:creator>
  <dc:description/>
  <dc:language>ru-RU</dc:language>
  <cp:lastModifiedBy/>
  <dcterms:modified xsi:type="dcterms:W3CDTF">2026-05-19T10:29:18Z</dcterms:modified>
  <cp:revision>1746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