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s="Times New Roman"/>
          <w:sz w:val="26"/>
          <w:szCs w:val="26"/>
        </w:rPr>
      </w:pPr>
      <w:r>
        <w:rPr>
          <w:rFonts w:cs="Times New Roman" w:ascii="Times New Roman" w:hAnsi="Times New Roman"/>
          <w:sz w:val="26"/>
          <w:szCs w:val="26"/>
        </w:rPr>
        <w:t xml:space="preserve">РЕШЕНИЕ </w:t>
      </w:r>
    </w:p>
    <w:p>
      <w:pPr>
        <w:pStyle w:val="Normal"/>
        <w:jc w:val="center"/>
        <w:rPr>
          <w:rFonts w:ascii="Times New Roman" w:hAnsi="Times New Roman" w:cs="Times New Roman"/>
          <w:sz w:val="26"/>
          <w:szCs w:val="26"/>
        </w:rPr>
      </w:pPr>
      <w:r>
        <w:rPr>
          <w:rFonts w:cs="Times New Roman" w:ascii="Times New Roman" w:hAnsi="Times New Roman"/>
          <w:sz w:val="26"/>
          <w:szCs w:val="26"/>
        </w:rPr>
        <w:t>по делу № 023/06/105-1896/2026</w:t>
      </w:r>
    </w:p>
    <w:p>
      <w:pPr>
        <w:pStyle w:val="Normal"/>
        <w:jc w:val="center"/>
        <w:rPr>
          <w:rFonts w:ascii="Times New Roman" w:hAnsi="Times New Roman" w:eastAsia="Times New Roman" w:cs="Times New Roman"/>
          <w:sz w:val="26"/>
          <w:szCs w:val="26"/>
        </w:rPr>
      </w:pPr>
      <w:r>
        <w:rPr>
          <w:rFonts w:eastAsia="Times New Roman" w:cs="Times New Roman" w:ascii="Times New Roman" w:hAnsi="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pPr>
        <w:pStyle w:val="Normal"/>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12 мая 2026 года                                                                                             г. Краснодар</w:t>
      </w:r>
    </w:p>
    <w:p>
      <w:pPr>
        <w:pStyle w:val="Normal"/>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ab/>
        <w:t xml:space="preserve"> рассмотрев жалобу ИП Харчук В.А. (далее Заявитель) на действия заказчика – ФГБУ «Санаторий РОП РФ «Электроника» при проведении электронного аукциона: «Поставка экрана и цифрового проектора» (извещение № 0318100060826000035) в части нарушения законодательства о контрактной системе,</w:t>
      </w:r>
    </w:p>
    <w:p>
      <w:pPr>
        <w:pStyle w:val="Normal"/>
        <w:jc w:val="center"/>
        <w:rPr>
          <w:rFonts w:ascii="Times New Roman" w:hAnsi="Times New Roman" w:cs="Times New Roman"/>
          <w:sz w:val="26"/>
          <w:szCs w:val="26"/>
        </w:rPr>
      </w:pPr>
      <w:r>
        <w:rPr>
          <w:rFonts w:cs="Times New Roman" w:ascii="Times New Roman" w:hAnsi="Times New Roman"/>
          <w:sz w:val="26"/>
          <w:szCs w:val="26"/>
        </w:rPr>
        <w:t>УСТАНОВИЛА:</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 xml:space="preserve">Заявитель указывает, что закупка содержит нарушение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 описанию соответствует продукция единственного производителя без возможности предложения эквивалентного товара </w:t>
      </w:r>
      <w:r>
        <w:rPr>
          <w:rFonts w:cs="Times New Roman" w:ascii="Times New Roman" w:hAnsi="Times New Roman"/>
          <w:sz w:val="26"/>
          <w:szCs w:val="26"/>
          <w:lang w:val="en-US"/>
        </w:rPr>
        <w:t>Barco</w:t>
      </w:r>
      <w:r>
        <w:rPr>
          <w:rFonts w:cs="Times New Roman" w:ascii="Times New Roman" w:hAnsi="Times New Roman"/>
          <w:sz w:val="26"/>
          <w:szCs w:val="26"/>
        </w:rPr>
        <w:t xml:space="preserve"> </w:t>
      </w:r>
      <w:r>
        <w:rPr>
          <w:rFonts w:cs="Times New Roman" w:ascii="Times New Roman" w:hAnsi="Times New Roman"/>
          <w:sz w:val="26"/>
          <w:szCs w:val="26"/>
          <w:lang w:val="en-US"/>
        </w:rPr>
        <w:t>SP</w:t>
      </w:r>
      <w:r>
        <w:rPr>
          <w:rFonts w:cs="Times New Roman" w:ascii="Times New Roman" w:hAnsi="Times New Roman"/>
          <w:sz w:val="26"/>
          <w:szCs w:val="26"/>
        </w:rPr>
        <w:t>4</w:t>
      </w:r>
      <w:r>
        <w:rPr>
          <w:rFonts w:cs="Times New Roman" w:ascii="Times New Roman" w:hAnsi="Times New Roman"/>
          <w:sz w:val="26"/>
          <w:szCs w:val="26"/>
          <w:lang w:val="en-US"/>
        </w:rPr>
        <w:t>K</w:t>
      </w:r>
      <w:r>
        <w:rPr>
          <w:rFonts w:cs="Times New Roman" w:ascii="Times New Roman" w:hAnsi="Times New Roman"/>
          <w:sz w:val="26"/>
          <w:szCs w:val="26"/>
        </w:rPr>
        <w:t>-20</w:t>
      </w:r>
      <w:r>
        <w:rPr>
          <w:rFonts w:cs="Times New Roman" w:ascii="Times New Roman" w:hAnsi="Times New Roman"/>
          <w:sz w:val="26"/>
          <w:szCs w:val="26"/>
          <w:lang w:val="en-US"/>
        </w:rPr>
        <w:t>C</w:t>
      </w:r>
      <w:r>
        <w:rPr>
          <w:rFonts w:cs="Times New Roman" w:ascii="Times New Roman" w:hAnsi="Times New Roman"/>
          <w:sz w:val="26"/>
          <w:szCs w:val="26"/>
        </w:rPr>
        <w:t>; установлены невыполнимые требования в техническом задании (п.5.5, 6.2, 6.3, 6.7, 6.8, 6.0, 6.11.</w:t>
      </w:r>
    </w:p>
    <w:p>
      <w:pPr>
        <w:pStyle w:val="Normal"/>
        <w:jc w:val="both"/>
        <w:rPr>
          <w:rFonts w:ascii="Times New Roman" w:hAnsi="Times New Roman" w:cs="Times New Roman"/>
          <w:sz w:val="26"/>
          <w:szCs w:val="26"/>
        </w:rPr>
      </w:pPr>
      <w:r>
        <w:rPr>
          <w:rFonts w:cs="Times New Roman" w:ascii="Times New Roman" w:hAnsi="Times New Roman"/>
          <w:sz w:val="26"/>
          <w:szCs w:val="26"/>
        </w:rPr>
        <w:tab/>
        <w:t xml:space="preserve">Заказчиком предоставлены письменные пояснения, согласно которым Описание объекта закупки составлено в соответствии с положениями Закона о контрактной системе. Описанию соответствует также товар </w:t>
      </w:r>
      <w:r>
        <w:rPr>
          <w:rFonts w:cs="Times New Roman" w:ascii="Times New Roman" w:hAnsi="Times New Roman"/>
          <w:sz w:val="26"/>
          <w:szCs w:val="26"/>
          <w:lang w:val="en-US"/>
        </w:rPr>
        <w:t>Sharp</w:t>
      </w:r>
      <w:r>
        <w:rPr>
          <w:rFonts w:cs="Times New Roman" w:ascii="Times New Roman" w:hAnsi="Times New Roman"/>
          <w:sz w:val="26"/>
          <w:szCs w:val="26"/>
        </w:rPr>
        <w:t xml:space="preserve"> </w:t>
      </w:r>
      <w:r>
        <w:rPr>
          <w:rFonts w:cs="Times New Roman" w:ascii="Times New Roman" w:hAnsi="Times New Roman"/>
          <w:sz w:val="26"/>
          <w:szCs w:val="26"/>
          <w:lang w:val="en-US"/>
        </w:rPr>
        <w:t>NEC</w:t>
      </w:r>
      <w:r>
        <w:rPr>
          <w:rFonts w:cs="Times New Roman" w:ascii="Times New Roman" w:hAnsi="Times New Roman"/>
          <w:sz w:val="26"/>
          <w:szCs w:val="26"/>
        </w:rPr>
        <w:t xml:space="preserve"> </w:t>
      </w:r>
      <w:r>
        <w:rPr>
          <w:rFonts w:cs="Times New Roman" w:ascii="Times New Roman" w:hAnsi="Times New Roman"/>
          <w:sz w:val="26"/>
          <w:szCs w:val="26"/>
          <w:lang w:val="en-US"/>
        </w:rPr>
        <w:t>Display</w:t>
      </w:r>
      <w:r>
        <w:rPr>
          <w:rFonts w:cs="Times New Roman" w:ascii="Times New Roman" w:hAnsi="Times New Roman"/>
          <w:sz w:val="26"/>
          <w:szCs w:val="26"/>
        </w:rPr>
        <w:t xml:space="preserve"> </w:t>
      </w:r>
      <w:r>
        <w:rPr>
          <w:rFonts w:cs="Times New Roman" w:ascii="Times New Roman" w:hAnsi="Times New Roman"/>
          <w:sz w:val="26"/>
          <w:szCs w:val="26"/>
          <w:lang w:val="en-US"/>
        </w:rPr>
        <w:t>Solutions</w:t>
      </w:r>
      <w:r>
        <w:rPr>
          <w:rFonts w:cs="Times New Roman" w:ascii="Times New Roman" w:hAnsi="Times New Roman"/>
          <w:sz w:val="26"/>
          <w:szCs w:val="26"/>
        </w:rPr>
        <w:t xml:space="preserve"> модель </w:t>
      </w:r>
      <w:r>
        <w:rPr>
          <w:rFonts w:cs="Times New Roman" w:ascii="Times New Roman" w:hAnsi="Times New Roman"/>
          <w:sz w:val="26"/>
          <w:szCs w:val="26"/>
          <w:lang w:val="en-US"/>
        </w:rPr>
        <w:t>NC</w:t>
      </w:r>
      <w:r>
        <w:rPr>
          <w:rFonts w:cs="Times New Roman" w:ascii="Times New Roman" w:hAnsi="Times New Roman"/>
          <w:sz w:val="26"/>
          <w:szCs w:val="26"/>
        </w:rPr>
        <w:t>2443</w:t>
      </w:r>
      <w:r>
        <w:rPr>
          <w:rFonts w:cs="Times New Roman" w:ascii="Times New Roman" w:hAnsi="Times New Roman"/>
          <w:sz w:val="26"/>
          <w:szCs w:val="26"/>
          <w:lang w:val="en-US"/>
        </w:rPr>
        <w:t>ML</w:t>
      </w:r>
      <w:r>
        <w:rPr>
          <w:rFonts w:cs="Times New Roman" w:ascii="Times New Roman" w:hAnsi="Times New Roman"/>
          <w:sz w:val="26"/>
          <w:szCs w:val="26"/>
        </w:rPr>
        <w:t xml:space="preserve">. </w:t>
      </w:r>
    </w:p>
    <w:p>
      <w:pPr>
        <w:pStyle w:val="Normal"/>
        <w:jc w:val="both"/>
        <w:rPr>
          <w:rFonts w:ascii="Times New Roman" w:hAnsi="Times New Roman" w:cs="Times New Roman"/>
          <w:sz w:val="26"/>
          <w:szCs w:val="26"/>
        </w:rPr>
      </w:pPr>
      <w:r>
        <w:rPr>
          <w:rFonts w:cs="Times New Roman" w:ascii="Times New Roman" w:hAnsi="Times New Roman"/>
          <w:sz w:val="26"/>
          <w:szCs w:val="26"/>
        </w:rPr>
        <w:tab/>
        <w:t>Рассмотрев представленные материалы, Комиссия пришла к следующим выводам.</w:t>
      </w:r>
    </w:p>
    <w:p>
      <w:pPr>
        <w:pStyle w:val="Normal"/>
        <w:jc w:val="both"/>
        <w:rPr>
          <w:rFonts w:ascii="Times New Roman" w:hAnsi="Times New Roman" w:eastAsia="Times New Roman" w:cs="Times New Roman"/>
          <w:sz w:val="26"/>
          <w:szCs w:val="26"/>
        </w:rPr>
      </w:pPr>
      <w:r>
        <w:rPr>
          <w:rFonts w:cs="Times New Roman" w:ascii="Times New Roman" w:hAnsi="Times New Roman"/>
          <w:sz w:val="26"/>
          <w:szCs w:val="26"/>
        </w:rPr>
        <w:tab/>
      </w:r>
      <w:r>
        <w:rPr>
          <w:rFonts w:eastAsia="Times New Roman" w:cs="Times New Roman" w:ascii="Times New Roman" w:hAnsi="Times New Roman"/>
          <w:sz w:val="26"/>
          <w:szCs w:val="26"/>
        </w:rPr>
        <w:t xml:space="preserve">Заказчиком - ФГБУ «Санаторий РОП РФ «Электроника» </w:t>
      </w:r>
      <w:r>
        <w:rPr>
          <w:rFonts w:cs="Times New Roman" w:ascii="Times New Roman" w:hAnsi="Times New Roman"/>
          <w:sz w:val="26"/>
          <w:szCs w:val="26"/>
        </w:rPr>
        <w:t xml:space="preserve">в ЕИС 29.04.2026 размещено извещение о проведении </w:t>
      </w:r>
      <w:r>
        <w:rPr>
          <w:rFonts w:eastAsia="Times New Roman" w:cs="Times New Roman" w:ascii="Times New Roman" w:hAnsi="Times New Roman"/>
          <w:sz w:val="26"/>
          <w:szCs w:val="26"/>
        </w:rPr>
        <w:t>электронного аукциона: «Поставка экрана и цифрового проектора» (извещение № 0318100060826000035) с НМЦК 13 012 820,00 рублей.</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В соответствии с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1) описание объекта закупки в соответствии со статьей 33 настоящего Федерального закона;</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4) порядок рассмотрения и оценки заявок на участие в конкурсах в соответствии с настоящим Федеральным законом;</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5) проект контракта.</w:t>
      </w:r>
    </w:p>
    <w:p>
      <w:pPr>
        <w:pStyle w:val="S1"/>
        <w:shd w:val="clear" w:color="auto" w:fill="FFFFFF"/>
        <w:spacing w:beforeAutospacing="0" w:before="0" w:afterAutospacing="0" w:after="300"/>
        <w:ind w:firstLine="708"/>
        <w:jc w:val="both"/>
        <w:rPr>
          <w:color w:val="464C55"/>
          <w:sz w:val="26"/>
          <w:szCs w:val="26"/>
        </w:rPr>
      </w:pPr>
      <w:r>
        <w:rPr>
          <w:color w:val="22272F"/>
          <w:sz w:val="26"/>
          <w:szCs w:val="26"/>
        </w:rPr>
        <w:t>Согласно п.1) ч.1 ст.33 Закона о контрактной системе </w:t>
      </w:r>
      <w:r>
        <w:rPr>
          <w:color w:val="464C55"/>
          <w:sz w:val="26"/>
          <w:szCs w:val="26"/>
        </w:rPr>
        <w:t>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1"/>
        <w:shd w:val="clear" w:color="auto" w:fill="FFFFFF"/>
        <w:spacing w:beforeAutospacing="0" w:before="0" w:afterAutospacing="0" w:after="300"/>
        <w:jc w:val="both"/>
        <w:rPr>
          <w:color w:val="464C55"/>
          <w:sz w:val="26"/>
          <w:szCs w:val="26"/>
        </w:rPr>
      </w:pPr>
      <w:r>
        <w:rPr>
          <w:color w:val="464C55"/>
          <w:sz w:val="26"/>
          <w:szCs w:val="26"/>
        </w:rPr>
        <w:t>а) сопровождение такого указания словами "или эквивалент";</w:t>
      </w:r>
    </w:p>
    <w:p>
      <w:pPr>
        <w:pStyle w:val="S1"/>
        <w:shd w:val="clear" w:color="auto" w:fill="FFFFFF"/>
        <w:spacing w:beforeAutospacing="0" w:before="0" w:afterAutospacing="0" w:after="300"/>
        <w:jc w:val="both"/>
        <w:rPr>
          <w:color w:val="464C55"/>
          <w:sz w:val="26"/>
          <w:szCs w:val="26"/>
        </w:rPr>
      </w:pPr>
      <w:r>
        <w:rPr>
          <w:color w:val="464C55"/>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1"/>
        <w:shd w:val="clear" w:color="auto" w:fill="FFFFFF"/>
        <w:spacing w:beforeAutospacing="0" w:before="0" w:afterAutospacing="0" w:after="300"/>
        <w:jc w:val="both"/>
        <w:rPr>
          <w:color w:val="464C55"/>
          <w:sz w:val="26"/>
          <w:szCs w:val="26"/>
        </w:rPr>
      </w:pPr>
      <w:r>
        <w:rPr>
          <w:color w:val="464C55"/>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1"/>
        <w:shd w:val="clear" w:color="auto" w:fill="FFFFFF"/>
        <w:spacing w:beforeAutospacing="0" w:before="0" w:afterAutospacing="0" w:after="0"/>
        <w:jc w:val="both"/>
        <w:rPr>
          <w:color w:val="464C55"/>
          <w:sz w:val="26"/>
          <w:szCs w:val="26"/>
        </w:rPr>
      </w:pPr>
      <w:r>
        <w:rPr>
          <w:color w:val="464C55"/>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r>
        <w:fldChar w:fldCharType="begin"/>
      </w:r>
      <w:r>
        <w:rPr>
          <w:sz w:val="26"/>
          <w:szCs w:val="26"/>
          <w:color w:val="3272C0"/>
        </w:rPr>
        <w:instrText> HYPERLINK "https://base.garant.ru/408401807/13e5f39dbdac86e5a4915e063b0a7798/" \l "block_1000"</w:instrText>
      </w:r>
      <w:r>
        <w:rPr>
          <w:sz w:val="26"/>
          <w:szCs w:val="26"/>
          <w:color w:val="3272C0"/>
        </w:rPr>
        <w:fldChar w:fldCharType="separate"/>
      </w:r>
      <w:r>
        <w:rPr>
          <w:color w:val="3272C0"/>
          <w:sz w:val="26"/>
          <w:szCs w:val="26"/>
        </w:rPr>
        <w:t>Перечень</w:t>
      </w:r>
      <w:r>
        <w:rPr>
          <w:sz w:val="26"/>
          <w:szCs w:val="26"/>
          <w:color w:val="3272C0"/>
        </w:rPr>
        <w:fldChar w:fldCharType="end"/>
      </w:r>
      <w:r>
        <w:rPr>
          <w:color w:val="464C55"/>
          <w:sz w:val="26"/>
          <w:szCs w:val="26"/>
        </w:rPr>
        <w:t> указанных медицинских изделий, специализированных продуктов лечебного питания и </w:t>
      </w:r>
      <w:r>
        <w:fldChar w:fldCharType="begin"/>
      </w:r>
      <w:r>
        <w:rPr>
          <w:sz w:val="26"/>
          <w:szCs w:val="26"/>
          <w:color w:val="3272C0"/>
        </w:rPr>
        <w:instrText> HYPERLINK "https://base.garant.ru/407562325/f4e49e50581f8fb571fcdf9b91d0af76/" \l "block_1000"</w:instrText>
      </w:r>
      <w:r>
        <w:rPr>
          <w:sz w:val="26"/>
          <w:szCs w:val="26"/>
          <w:color w:val="3272C0"/>
        </w:rPr>
        <w:fldChar w:fldCharType="separate"/>
      </w:r>
      <w:r>
        <w:rPr>
          <w:color w:val="3272C0"/>
          <w:sz w:val="26"/>
          <w:szCs w:val="26"/>
        </w:rPr>
        <w:t>порядок</w:t>
      </w:r>
      <w:r>
        <w:rPr>
          <w:sz w:val="26"/>
          <w:szCs w:val="26"/>
          <w:color w:val="3272C0"/>
        </w:rPr>
        <w:fldChar w:fldCharType="end"/>
      </w:r>
      <w:r>
        <w:rPr>
          <w:color w:val="464C55"/>
          <w:sz w:val="26"/>
          <w:szCs w:val="26"/>
        </w:rPr>
        <w:t> его формирования утверждаются Правительством Российской Федерации.</w:t>
      </w:r>
    </w:p>
    <w:p>
      <w:pPr>
        <w:pStyle w:val="Normal"/>
        <w:ind w:firstLine="708"/>
        <w:jc w:val="both"/>
        <w:rPr>
          <w:rFonts w:ascii="Times New Roman" w:hAnsi="Times New Roman" w:cs="Times New Roman"/>
          <w:sz w:val="26"/>
          <w:szCs w:val="26"/>
        </w:rPr>
      </w:pPr>
      <w:bookmarkStart w:id="0" w:name="dst744"/>
      <w:bookmarkEnd w:id="0"/>
      <w:r>
        <w:rPr>
          <w:rFonts w:cs="Times New Roman" w:ascii="Times New Roman" w:hAnsi="Times New Roman"/>
          <w:sz w:val="26"/>
          <w:szCs w:val="26"/>
        </w:rPr>
        <w:t>В соответствии с ч.2 ст.33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r>
        <w:rPr>
          <w:rFonts w:eastAsia="Times New Roman" w:cs="Times New Roman" w:ascii="Times New Roman" w:hAnsi="Times New Roman"/>
          <w:sz w:val="26"/>
          <w:szCs w:val="26"/>
        </w:rPr>
        <w:t xml:space="preserve"> </w:t>
      </w:r>
    </w:p>
    <w:p>
      <w:pPr>
        <w:pStyle w:val="Normal"/>
        <w:ind w:firstLine="708"/>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В Описании объекта закупки заказчиком установлены требования к закупаемому товару с указанием характеристик. </w:t>
      </w:r>
    </w:p>
    <w:p>
      <w:pPr>
        <w:pStyle w:val="Normal"/>
        <w:ind w:firstLine="708"/>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Заявитель указывает, что с учетом совокупности обозначенных заказчиком характеристик соответствует товар производителя </w:t>
      </w:r>
      <w:r>
        <w:rPr>
          <w:rFonts w:cs="Times New Roman" w:ascii="Times New Roman" w:hAnsi="Times New Roman"/>
          <w:sz w:val="26"/>
          <w:szCs w:val="26"/>
          <w:lang w:val="en-US"/>
        </w:rPr>
        <w:t>Barco</w:t>
      </w:r>
      <w:r>
        <w:rPr>
          <w:rFonts w:cs="Times New Roman" w:ascii="Times New Roman" w:hAnsi="Times New Roman"/>
          <w:sz w:val="26"/>
          <w:szCs w:val="26"/>
        </w:rPr>
        <w:t xml:space="preserve"> </w:t>
      </w:r>
      <w:r>
        <w:rPr>
          <w:rFonts w:cs="Times New Roman" w:ascii="Times New Roman" w:hAnsi="Times New Roman"/>
          <w:sz w:val="26"/>
          <w:szCs w:val="26"/>
          <w:lang w:val="en-US"/>
        </w:rPr>
        <w:t>SP</w:t>
      </w:r>
      <w:r>
        <w:rPr>
          <w:rFonts w:cs="Times New Roman" w:ascii="Times New Roman" w:hAnsi="Times New Roman"/>
          <w:sz w:val="26"/>
          <w:szCs w:val="26"/>
        </w:rPr>
        <w:t>4</w:t>
      </w:r>
      <w:r>
        <w:rPr>
          <w:rFonts w:cs="Times New Roman" w:ascii="Times New Roman" w:hAnsi="Times New Roman"/>
          <w:sz w:val="26"/>
          <w:szCs w:val="26"/>
          <w:lang w:val="en-US"/>
        </w:rPr>
        <w:t>K</w:t>
      </w:r>
      <w:r>
        <w:rPr>
          <w:rFonts w:cs="Times New Roman" w:ascii="Times New Roman" w:hAnsi="Times New Roman"/>
          <w:sz w:val="26"/>
          <w:szCs w:val="26"/>
        </w:rPr>
        <w:t>-20</w:t>
      </w:r>
      <w:r>
        <w:rPr>
          <w:rFonts w:cs="Times New Roman" w:ascii="Times New Roman" w:hAnsi="Times New Roman"/>
          <w:sz w:val="26"/>
          <w:szCs w:val="26"/>
          <w:lang w:val="en-US"/>
        </w:rPr>
        <w:t>C</w:t>
      </w:r>
      <w:r>
        <w:rPr>
          <w:rFonts w:cs="Times New Roman" w:ascii="Times New Roman" w:hAnsi="Times New Roman"/>
          <w:sz w:val="26"/>
          <w:szCs w:val="26"/>
        </w:rPr>
        <w:t>. Данный факт представителем заказчика не отрицался.</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В соответствии с позицией ФАС России при проведении закупок заказчики описывают объекты закупок, руководствуясь положениями Закона о контрактной системе, при условии, что такие требования не влекут за собой ограничение количества участников закупки. При этом, по мнению ФАС России, объект закупки должен быть сформирован таким образом, чтобы совокупность характеристик закупаемого товара соответствовала товару нескольких производителей.</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 xml:space="preserve">Представитель заказчика пояснил, что Описанию соответствует товар </w:t>
      </w:r>
      <w:r>
        <w:rPr>
          <w:rFonts w:cs="Times New Roman" w:ascii="Times New Roman" w:hAnsi="Times New Roman"/>
          <w:sz w:val="26"/>
          <w:szCs w:val="26"/>
          <w:lang w:val="en-US"/>
        </w:rPr>
        <w:t>Sharp</w:t>
      </w:r>
      <w:r>
        <w:rPr>
          <w:rFonts w:cs="Times New Roman" w:ascii="Times New Roman" w:hAnsi="Times New Roman"/>
          <w:sz w:val="26"/>
          <w:szCs w:val="26"/>
        </w:rPr>
        <w:t xml:space="preserve"> </w:t>
      </w:r>
      <w:r>
        <w:rPr>
          <w:rFonts w:cs="Times New Roman" w:ascii="Times New Roman" w:hAnsi="Times New Roman"/>
          <w:sz w:val="26"/>
          <w:szCs w:val="26"/>
          <w:lang w:val="en-US"/>
        </w:rPr>
        <w:t>NEC</w:t>
      </w:r>
      <w:r>
        <w:rPr>
          <w:rFonts w:cs="Times New Roman" w:ascii="Times New Roman" w:hAnsi="Times New Roman"/>
          <w:sz w:val="26"/>
          <w:szCs w:val="26"/>
        </w:rPr>
        <w:t xml:space="preserve"> </w:t>
      </w:r>
      <w:r>
        <w:rPr>
          <w:rFonts w:cs="Times New Roman" w:ascii="Times New Roman" w:hAnsi="Times New Roman"/>
          <w:sz w:val="26"/>
          <w:szCs w:val="26"/>
          <w:lang w:val="en-US"/>
        </w:rPr>
        <w:t>Display</w:t>
      </w:r>
      <w:r>
        <w:rPr>
          <w:rFonts w:cs="Times New Roman" w:ascii="Times New Roman" w:hAnsi="Times New Roman"/>
          <w:sz w:val="26"/>
          <w:szCs w:val="26"/>
        </w:rPr>
        <w:t xml:space="preserve"> </w:t>
      </w:r>
      <w:r>
        <w:rPr>
          <w:rFonts w:cs="Times New Roman" w:ascii="Times New Roman" w:hAnsi="Times New Roman"/>
          <w:sz w:val="26"/>
          <w:szCs w:val="26"/>
          <w:lang w:val="en-US"/>
        </w:rPr>
        <w:t>Solutions</w:t>
      </w:r>
      <w:r>
        <w:rPr>
          <w:rFonts w:cs="Times New Roman" w:ascii="Times New Roman" w:hAnsi="Times New Roman"/>
          <w:sz w:val="26"/>
          <w:szCs w:val="26"/>
        </w:rPr>
        <w:t xml:space="preserve"> модель </w:t>
      </w:r>
      <w:r>
        <w:rPr>
          <w:rFonts w:cs="Times New Roman" w:ascii="Times New Roman" w:hAnsi="Times New Roman"/>
          <w:sz w:val="26"/>
          <w:szCs w:val="26"/>
          <w:lang w:val="en-US"/>
        </w:rPr>
        <w:t>NC</w:t>
      </w:r>
      <w:r>
        <w:rPr>
          <w:rFonts w:cs="Times New Roman" w:ascii="Times New Roman" w:hAnsi="Times New Roman"/>
          <w:sz w:val="26"/>
          <w:szCs w:val="26"/>
        </w:rPr>
        <w:t>2443</w:t>
      </w:r>
      <w:r>
        <w:rPr>
          <w:rFonts w:cs="Times New Roman" w:ascii="Times New Roman" w:hAnsi="Times New Roman"/>
          <w:sz w:val="26"/>
          <w:szCs w:val="26"/>
          <w:lang w:val="en-US"/>
        </w:rPr>
        <w:t>ML</w:t>
      </w:r>
      <w:r>
        <w:rPr>
          <w:rFonts w:cs="Times New Roman" w:ascii="Times New Roman" w:hAnsi="Times New Roman"/>
          <w:sz w:val="26"/>
          <w:szCs w:val="26"/>
        </w:rPr>
        <w:t xml:space="preserve">. </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В целях выяснения обстоятельств дела Комиссией был объявлен перерыв для предоставления дополнительных пояснений и доказательств в части соответствия характеристик вышеуказанной модели требованиям Описания объекта закупки.</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После перерыва представитель Заявителя пояснил, что указанная заказчиком модель не соответствует Описанию объекта закупки по ряду показателей (например, источник света, световой поток).</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 xml:space="preserve">Представителем заказчика после перерыва предоставлена сравнительная таблица (без подтверждающих документов), согласно которой модель </w:t>
      </w:r>
      <w:r>
        <w:rPr>
          <w:rFonts w:cs="Times New Roman" w:ascii="Times New Roman" w:hAnsi="Times New Roman"/>
          <w:sz w:val="26"/>
          <w:szCs w:val="26"/>
          <w:lang w:val="en-US"/>
        </w:rPr>
        <w:t>NC</w:t>
      </w:r>
      <w:r>
        <w:rPr>
          <w:rFonts w:cs="Times New Roman" w:ascii="Times New Roman" w:hAnsi="Times New Roman"/>
          <w:sz w:val="26"/>
          <w:szCs w:val="26"/>
        </w:rPr>
        <w:t>2443</w:t>
      </w:r>
      <w:r>
        <w:rPr>
          <w:rFonts w:cs="Times New Roman" w:ascii="Times New Roman" w:hAnsi="Times New Roman"/>
          <w:sz w:val="26"/>
          <w:szCs w:val="26"/>
          <w:lang w:val="en-US"/>
        </w:rPr>
        <w:t>ML</w:t>
      </w:r>
      <w:r>
        <w:rPr>
          <w:rFonts w:cs="Times New Roman" w:ascii="Times New Roman" w:hAnsi="Times New Roman"/>
          <w:sz w:val="26"/>
          <w:szCs w:val="26"/>
        </w:rPr>
        <w:t xml:space="preserve"> не соответствует показателю контрастность. В Описании объекта закупки заказчиком установлен показатель контрастность не менее 2200:1 (номинальная). У модели </w:t>
      </w:r>
      <w:r>
        <w:rPr>
          <w:rFonts w:cs="Times New Roman" w:ascii="Times New Roman" w:hAnsi="Times New Roman"/>
          <w:sz w:val="26"/>
          <w:szCs w:val="26"/>
          <w:lang w:val="en-US"/>
        </w:rPr>
        <w:t>NC</w:t>
      </w:r>
      <w:r>
        <w:rPr>
          <w:rFonts w:cs="Times New Roman" w:ascii="Times New Roman" w:hAnsi="Times New Roman"/>
          <w:sz w:val="26"/>
          <w:szCs w:val="26"/>
        </w:rPr>
        <w:t>2443</w:t>
      </w:r>
      <w:r>
        <w:rPr>
          <w:rFonts w:cs="Times New Roman" w:ascii="Times New Roman" w:hAnsi="Times New Roman"/>
          <w:sz w:val="26"/>
          <w:szCs w:val="26"/>
          <w:lang w:val="en-US"/>
        </w:rPr>
        <w:t>ML</w:t>
      </w:r>
      <w:r>
        <w:rPr>
          <w:rFonts w:cs="Times New Roman" w:ascii="Times New Roman" w:hAnsi="Times New Roman"/>
          <w:sz w:val="26"/>
          <w:szCs w:val="26"/>
        </w:rPr>
        <w:t xml:space="preserve"> контрастность 2000:1, что менее требуемого показателя. Также Комиссией изучена информация, размещенная на сайте (руководство пользователя) и установлено, что модель разработана на основании технологи «</w:t>
      </w:r>
      <w:r>
        <w:rPr>
          <w:rFonts w:cs="Times New Roman" w:ascii="Times New Roman" w:hAnsi="Times New Roman"/>
          <w:sz w:val="26"/>
          <w:szCs w:val="26"/>
          <w:lang w:val="en-US"/>
        </w:rPr>
        <w:t>RB</w:t>
      </w:r>
      <w:r>
        <w:rPr>
          <w:rFonts w:cs="Times New Roman" w:ascii="Times New Roman" w:hAnsi="Times New Roman"/>
          <w:sz w:val="26"/>
          <w:szCs w:val="26"/>
        </w:rPr>
        <w:t xml:space="preserve">-лазер», заказчику требуется прямой полупроводниковый </w:t>
      </w:r>
      <w:r>
        <w:rPr>
          <w:rFonts w:cs="Times New Roman" w:ascii="Times New Roman" w:hAnsi="Times New Roman"/>
          <w:sz w:val="26"/>
          <w:szCs w:val="26"/>
          <w:lang w:val="en-US"/>
        </w:rPr>
        <w:t>RGB</w:t>
      </w:r>
      <w:r>
        <w:rPr>
          <w:rFonts w:cs="Times New Roman" w:ascii="Times New Roman" w:hAnsi="Times New Roman"/>
          <w:sz w:val="26"/>
          <w:szCs w:val="26"/>
        </w:rPr>
        <w:t xml:space="preserve"> лазер, вес без объектива 153кг. Таким образом, Комиссия приходит к выводу, что модель </w:t>
      </w:r>
      <w:r>
        <w:rPr>
          <w:rFonts w:cs="Times New Roman" w:ascii="Times New Roman" w:hAnsi="Times New Roman"/>
          <w:sz w:val="26"/>
          <w:szCs w:val="26"/>
          <w:lang w:val="en-US"/>
        </w:rPr>
        <w:t>NC</w:t>
      </w:r>
      <w:r>
        <w:rPr>
          <w:rFonts w:cs="Times New Roman" w:ascii="Times New Roman" w:hAnsi="Times New Roman"/>
          <w:sz w:val="26"/>
          <w:szCs w:val="26"/>
        </w:rPr>
        <w:t>2443</w:t>
      </w:r>
      <w:r>
        <w:rPr>
          <w:rFonts w:cs="Times New Roman" w:ascii="Times New Roman" w:hAnsi="Times New Roman"/>
          <w:sz w:val="26"/>
          <w:szCs w:val="26"/>
          <w:lang w:val="en-US"/>
        </w:rPr>
        <w:t>ML</w:t>
      </w:r>
      <w:r>
        <w:rPr>
          <w:rFonts w:cs="Times New Roman" w:ascii="Times New Roman" w:hAnsi="Times New Roman"/>
          <w:sz w:val="26"/>
          <w:szCs w:val="26"/>
        </w:rPr>
        <w:t xml:space="preserve"> не соответствует Описанию объекта закупки.</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 xml:space="preserve">Также заказчик указал, что Описанию соответствует товар </w:t>
      </w:r>
      <w:r>
        <w:rPr>
          <w:rFonts w:cs="Times New Roman" w:ascii="Times New Roman" w:hAnsi="Times New Roman"/>
          <w:sz w:val="26"/>
          <w:szCs w:val="26"/>
          <w:lang w:val="en-US"/>
        </w:rPr>
        <w:t>Christie</w:t>
      </w:r>
      <w:r>
        <w:rPr>
          <w:rFonts w:cs="Times New Roman" w:ascii="Times New Roman" w:hAnsi="Times New Roman"/>
          <w:sz w:val="26"/>
          <w:szCs w:val="26"/>
        </w:rPr>
        <w:t xml:space="preserve"> </w:t>
      </w:r>
      <w:r>
        <w:rPr>
          <w:rFonts w:cs="Times New Roman" w:ascii="Times New Roman" w:hAnsi="Times New Roman"/>
          <w:sz w:val="26"/>
          <w:szCs w:val="26"/>
          <w:lang w:val="en-US"/>
        </w:rPr>
        <w:t>CP</w:t>
      </w:r>
      <w:r>
        <w:rPr>
          <w:rFonts w:cs="Times New Roman" w:ascii="Times New Roman" w:hAnsi="Times New Roman"/>
          <w:sz w:val="26"/>
          <w:szCs w:val="26"/>
        </w:rPr>
        <w:t>4420-</w:t>
      </w:r>
      <w:r>
        <w:rPr>
          <w:rFonts w:cs="Times New Roman" w:ascii="Times New Roman" w:hAnsi="Times New Roman"/>
          <w:sz w:val="26"/>
          <w:szCs w:val="26"/>
          <w:lang w:val="en-US"/>
        </w:rPr>
        <w:t>RGB</w:t>
      </w:r>
      <w:r>
        <w:rPr>
          <w:rFonts w:cs="Times New Roman" w:ascii="Times New Roman" w:hAnsi="Times New Roman"/>
          <w:sz w:val="26"/>
          <w:szCs w:val="26"/>
        </w:rPr>
        <w:t xml:space="preserve"> (в модификации </w:t>
      </w:r>
      <w:r>
        <w:rPr>
          <w:rFonts w:cs="Times New Roman" w:ascii="Times New Roman" w:hAnsi="Times New Roman"/>
          <w:sz w:val="26"/>
          <w:szCs w:val="26"/>
          <w:lang w:val="en-US"/>
        </w:rPr>
        <w:t>SST</w:t>
      </w:r>
      <w:r>
        <w:rPr>
          <w:rFonts w:cs="Times New Roman" w:ascii="Times New Roman" w:hAnsi="Times New Roman"/>
          <w:sz w:val="26"/>
          <w:szCs w:val="26"/>
        </w:rPr>
        <w:t xml:space="preserve"> </w:t>
      </w:r>
      <w:r>
        <w:rPr>
          <w:rFonts w:cs="Times New Roman" w:ascii="Times New Roman" w:hAnsi="Times New Roman"/>
          <w:sz w:val="26"/>
          <w:szCs w:val="26"/>
          <w:lang w:val="en-US"/>
        </w:rPr>
        <w:t>c</w:t>
      </w:r>
      <w:r>
        <w:rPr>
          <w:rFonts w:cs="Times New Roman" w:ascii="Times New Roman" w:hAnsi="Times New Roman"/>
          <w:sz w:val="26"/>
          <w:szCs w:val="26"/>
        </w:rPr>
        <w:t xml:space="preserve"> чипом 0,98 дюйма), который ранее в письменных пояснениях не был отражен. В связи с тем, что заказчиком документы, подтверждающие технические характеристики, не предоставлены, Комиссия, изучив общедоступные данные, установила, что данная модель имеет вес примерно 130кг, уровень шума 56,00 Д (в Описании не более 120кг, уровень шума не более 50 дБА).</w:t>
      </w:r>
    </w:p>
    <w:p>
      <w:pPr>
        <w:pStyle w:val="Normal"/>
        <w:ind w:firstLine="708"/>
        <w:jc w:val="both"/>
        <w:rPr>
          <w:rFonts w:ascii="Times New Roman" w:hAnsi="Times New Roman" w:cs="Times New Roman"/>
          <w:sz w:val="26"/>
          <w:szCs w:val="26"/>
          <w:u w:val="single"/>
        </w:rPr>
      </w:pPr>
      <w:r>
        <w:rPr>
          <w:rFonts w:cs="Times New Roman" w:ascii="Times New Roman" w:hAnsi="Times New Roman"/>
          <w:sz w:val="26"/>
          <w:szCs w:val="26"/>
        </w:rPr>
        <w:t xml:space="preserve">Заявитель указывает, что в Техническом задании содержатся заведомо неисполнимые требования: п.5.5 Технического задания требуется наличие автоматизированного сервисного центра на территории РФ; в п.6.2 установлен запрет на использование компонентов различных производителей для модуля формирования изображения, за исключением случаев, когда производителем проектора официально сертифицирована совместимость с предлагаемым медиасервером по протоколу управления </w:t>
      </w:r>
      <w:r>
        <w:rPr>
          <w:rFonts w:cs="Times New Roman" w:ascii="Times New Roman" w:hAnsi="Times New Roman"/>
          <w:sz w:val="26"/>
          <w:szCs w:val="26"/>
          <w:lang w:val="en-US"/>
        </w:rPr>
        <w:t>Barco</w:t>
      </w:r>
      <w:r>
        <w:rPr>
          <w:rFonts w:cs="Times New Roman" w:ascii="Times New Roman" w:hAnsi="Times New Roman"/>
          <w:sz w:val="26"/>
          <w:szCs w:val="26"/>
        </w:rPr>
        <w:t xml:space="preserve">…; в п.6.3 требуется расширенная гарантия на источник света; в п.6.7, 6.8 указано, что </w:t>
      </w:r>
      <w:r>
        <w:rPr>
          <w:rFonts w:cs="Times New Roman" w:ascii="Times New Roman" w:hAnsi="Times New Roman"/>
          <w:sz w:val="26"/>
          <w:szCs w:val="26"/>
          <w:u w:val="single"/>
        </w:rPr>
        <w:t xml:space="preserve">поставщик </w:t>
      </w:r>
      <w:r>
        <w:rPr>
          <w:rFonts w:cs="Times New Roman" w:ascii="Times New Roman" w:hAnsi="Times New Roman"/>
          <w:sz w:val="26"/>
          <w:szCs w:val="26"/>
        </w:rPr>
        <w:t>обязан провести обучение технического персонала с выдачей именных сертификатов установленного образца; п.6.10 интеграция с облачной диагностикой и импорт данных о наработке; п.6.11 проверка виброустойчивости, трехосевой датчик ускорения.</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 xml:space="preserve">Заказчиком не предоставлены доказательства соответствия Описания объекта нескольким производителям, при отсутствии запрета на предложение аналога, в том числе наличие альтернативных протоколов, встроенного датчика ускорения, а также объективные данные о наличии сервисного центра с выдачей сертификатов уровня </w:t>
      </w:r>
      <w:r>
        <w:rPr>
          <w:rFonts w:cs="Times New Roman" w:ascii="Times New Roman" w:hAnsi="Times New Roman"/>
          <w:sz w:val="26"/>
          <w:szCs w:val="26"/>
          <w:lang w:val="en-US"/>
        </w:rPr>
        <w:t>Advanced</w:t>
      </w:r>
      <w:r>
        <w:rPr>
          <w:rFonts w:cs="Times New Roman" w:ascii="Times New Roman" w:hAnsi="Times New Roman"/>
          <w:sz w:val="26"/>
          <w:szCs w:val="26"/>
        </w:rPr>
        <w:t xml:space="preserve"> </w:t>
      </w:r>
      <w:r>
        <w:rPr>
          <w:rFonts w:cs="Times New Roman" w:ascii="Times New Roman" w:hAnsi="Times New Roman"/>
          <w:sz w:val="26"/>
          <w:szCs w:val="26"/>
          <w:lang w:val="en-US"/>
        </w:rPr>
        <w:t>Service</w:t>
      </w:r>
      <w:r>
        <w:rPr>
          <w:rFonts w:cs="Times New Roman" w:ascii="Times New Roman" w:hAnsi="Times New Roman"/>
          <w:sz w:val="26"/>
          <w:szCs w:val="26"/>
        </w:rPr>
        <w:t>, расширенной гарантии.</w:t>
      </w:r>
      <w:bookmarkStart w:id="1" w:name="_GoBack"/>
      <w:bookmarkEnd w:id="1"/>
    </w:p>
    <w:p>
      <w:pPr>
        <w:pStyle w:val="Normal"/>
        <w:ind w:firstLine="708"/>
        <w:jc w:val="both"/>
        <w:rPr>
          <w:rFonts w:ascii="Times New Roman" w:hAnsi="Times New Roman" w:cs="Times New Roman"/>
          <w:b/>
          <w:b/>
          <w:sz w:val="26"/>
          <w:szCs w:val="26"/>
          <w:u w:val="single"/>
        </w:rPr>
      </w:pPr>
      <w:r>
        <w:rPr>
          <w:rFonts w:cs="Times New Roman" w:ascii="Times New Roman" w:hAnsi="Times New Roman"/>
          <w:sz w:val="26"/>
          <w:szCs w:val="26"/>
        </w:rPr>
        <w:t xml:space="preserve">Кроме того, в соответствии с ч.1.1 ст.33 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настоящего Федерального закона запрет, ограничение или преимущество, </w:t>
      </w:r>
      <w:r>
        <w:rPr>
          <w:rFonts w:cs="Times New Roman" w:ascii="Times New Roman" w:hAnsi="Times New Roman"/>
          <w:b/>
          <w:sz w:val="26"/>
          <w:szCs w:val="26"/>
          <w:u w:val="single"/>
        </w:rPr>
        <w:t xml:space="preserve">указываются характеристики товара российского происхождения. </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В извещении закупки в отношении закупаемого товара установлено ограничением. При этом, в извещении в соответствии с п.7 Постановления №1875 не задекларирован факт отсутствия в РРПП товара с характеристиками, предусмотренными в Описании объекта закупки.</w:t>
      </w:r>
    </w:p>
    <w:p>
      <w:pPr>
        <w:pStyle w:val="Normal"/>
        <w:ind w:firstLine="708"/>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С учетом установленных условий закупки,  Комиссия приходит к выводу, что Описание объекта закупки противоречит положениям п.1) ч.1 ст.33, ч.1.1 ст.33, п.2) ч.1 ст.42 Закона о контрактной системе.</w:t>
      </w:r>
    </w:p>
    <w:p>
      <w:pPr>
        <w:pStyle w:val="Normal"/>
        <w:ind w:firstLine="540"/>
        <w:jc w:val="both"/>
        <w:rPr>
          <w:rFonts w:ascii="Times New Roman" w:hAnsi="Times New Roman" w:cs="Times New Roman"/>
          <w:sz w:val="26"/>
          <w:szCs w:val="26"/>
        </w:rPr>
      </w:pPr>
      <w:r>
        <w:rPr>
          <w:rFonts w:cs="Times New Roman" w:ascii="Times New Roman" w:hAnsi="Times New Roman"/>
          <w:sz w:val="26"/>
          <w:szCs w:val="26"/>
        </w:rPr>
        <w:t>Комиссия, руководствуясь ч.15, ч.22, 23 ст.99, ч.8 ст.106 Закона о контрактной системе.</w:t>
      </w:r>
    </w:p>
    <w:p>
      <w:pPr>
        <w:pStyle w:val="Normal"/>
        <w:ind w:firstLine="540"/>
        <w:jc w:val="both"/>
        <w:rPr>
          <w:rFonts w:ascii="Times New Roman" w:hAnsi="Times New Roman" w:cs="Times New Roman"/>
          <w:sz w:val="26"/>
          <w:szCs w:val="26"/>
        </w:rPr>
      </w:pPr>
      <w:r>
        <w:rPr/>
      </w:r>
    </w:p>
    <w:p>
      <w:pPr>
        <w:pStyle w:val="Normal"/>
        <w:ind w:firstLine="540"/>
        <w:jc w:val="both"/>
        <w:rPr>
          <w:rFonts w:ascii="Times New Roman" w:hAnsi="Times New Roman" w:cs="Times New Roman"/>
          <w:sz w:val="26"/>
          <w:szCs w:val="26"/>
        </w:rPr>
      </w:pPr>
      <w:r>
        <w:rPr/>
      </w:r>
    </w:p>
    <w:p>
      <w:pPr>
        <w:pStyle w:val="Normal"/>
        <w:ind w:firstLine="540"/>
        <w:jc w:val="both"/>
        <w:rPr>
          <w:rFonts w:ascii="Times New Roman" w:hAnsi="Times New Roman" w:cs="Times New Roman"/>
          <w:sz w:val="26"/>
          <w:szCs w:val="26"/>
        </w:rPr>
      </w:pPr>
      <w:r>
        <w:rPr/>
      </w:r>
    </w:p>
    <w:p>
      <w:pPr>
        <w:pStyle w:val="Normal"/>
        <w:widowControl w:val="false"/>
        <w:numPr>
          <w:ilvl w:val="0"/>
          <w:numId w:val="0"/>
        </w:numPr>
        <w:spacing w:lineRule="auto" w:line="240" w:before="0" w:after="0"/>
        <w:ind w:left="0" w:firstLine="540"/>
        <w:jc w:val="center"/>
        <w:outlineLvl w:val="2"/>
        <w:rPr>
          <w:rFonts w:ascii="Times New Roman" w:hAnsi="Times New Roman" w:cs="Times New Roman"/>
          <w:sz w:val="26"/>
          <w:szCs w:val="26"/>
        </w:rPr>
      </w:pPr>
      <w:r>
        <w:rPr>
          <w:rFonts w:cs="Times New Roman" w:ascii="Times New Roman" w:hAnsi="Times New Roman"/>
          <w:sz w:val="26"/>
          <w:szCs w:val="26"/>
        </w:rPr>
        <w:t>РЕШИЛА:</w:t>
      </w:r>
    </w:p>
    <w:p>
      <w:pPr>
        <w:pStyle w:val="Normal"/>
        <w:widowControl w:val="false"/>
        <w:numPr>
          <w:ilvl w:val="0"/>
          <w:numId w:val="0"/>
        </w:numPr>
        <w:spacing w:lineRule="auto" w:line="240" w:before="0" w:after="0"/>
        <w:ind w:left="0" w:firstLine="540"/>
        <w:jc w:val="both"/>
        <w:outlineLvl w:val="2"/>
        <w:rPr>
          <w:rFonts w:ascii="Times New Roman" w:hAnsi="Times New Roman" w:cs="Times New Roman"/>
          <w:sz w:val="26"/>
          <w:szCs w:val="26"/>
        </w:rPr>
      </w:pPr>
      <w:r>
        <w:rPr>
          <w:rFonts w:cs="Times New Roman" w:ascii="Times New Roman" w:hAnsi="Times New Roman"/>
          <w:sz w:val="26"/>
          <w:szCs w:val="26"/>
        </w:rPr>
      </w:r>
    </w:p>
    <w:p>
      <w:pPr>
        <w:pStyle w:val="ListParagraph"/>
        <w:numPr>
          <w:ilvl w:val="0"/>
          <w:numId w:val="1"/>
        </w:numPr>
        <w:jc w:val="both"/>
        <w:rPr>
          <w:rFonts w:ascii="Times New Roman" w:hAnsi="Times New Roman" w:cs="Times New Roman"/>
          <w:sz w:val="26"/>
          <w:szCs w:val="26"/>
        </w:rPr>
      </w:pPr>
      <w:r>
        <w:rPr>
          <w:rFonts w:cs="Times New Roman" w:ascii="Times New Roman" w:hAnsi="Times New Roman"/>
          <w:sz w:val="26"/>
          <w:szCs w:val="26"/>
        </w:rPr>
        <w:t>Признать жалобу ИП Харчук В.А. обоснованной.</w:t>
      </w:r>
    </w:p>
    <w:p>
      <w:pPr>
        <w:pStyle w:val="ListParagraph"/>
        <w:numPr>
          <w:ilvl w:val="0"/>
          <w:numId w:val="1"/>
        </w:numPr>
        <w:jc w:val="both"/>
        <w:rPr>
          <w:rFonts w:ascii="Times New Roman" w:hAnsi="Times New Roman" w:eastAsia="Times New Roman" w:cs="Times New Roman"/>
          <w:sz w:val="26"/>
          <w:szCs w:val="26"/>
        </w:rPr>
      </w:pPr>
      <w:r>
        <w:rPr>
          <w:rFonts w:cs="Times New Roman" w:ascii="Times New Roman" w:hAnsi="Times New Roman"/>
          <w:sz w:val="26"/>
          <w:szCs w:val="26"/>
        </w:rPr>
        <w:t xml:space="preserve">Признать в действиях заказчика - </w:t>
      </w:r>
      <w:r>
        <w:rPr>
          <w:rFonts w:eastAsia="Times New Roman" w:cs="Times New Roman" w:ascii="Times New Roman" w:hAnsi="Times New Roman"/>
          <w:sz w:val="26"/>
          <w:szCs w:val="26"/>
        </w:rPr>
        <w:t>ФГБУ «Санаторий РОП РФ «Электроника» нарушение п.1) ч.1 ст.33, ч.1.1 ст.33, п.2) ч.1 ст.42 Закона о контрактной системе.</w:t>
      </w:r>
    </w:p>
    <w:p>
      <w:pPr>
        <w:pStyle w:val="ListParagraph"/>
        <w:numPr>
          <w:ilvl w:val="0"/>
          <w:numId w:val="1"/>
        </w:numPr>
        <w:jc w:val="both"/>
        <w:rPr>
          <w:rFonts w:ascii="Times New Roman" w:hAnsi="Times New Roman" w:cs="Times New Roman"/>
          <w:sz w:val="26"/>
          <w:szCs w:val="26"/>
        </w:rPr>
      </w:pPr>
      <w:r>
        <w:rPr>
          <w:rFonts w:cs="Times New Roman" w:ascii="Times New Roman" w:hAnsi="Times New Roman"/>
          <w:sz w:val="26"/>
          <w:szCs w:val="26"/>
        </w:rPr>
        <w:t xml:space="preserve">Заказчику (комиссии) - </w:t>
      </w:r>
      <w:r>
        <w:rPr>
          <w:rFonts w:eastAsia="Times New Roman" w:cs="Times New Roman" w:ascii="Times New Roman" w:hAnsi="Times New Roman"/>
          <w:sz w:val="26"/>
          <w:szCs w:val="26"/>
        </w:rPr>
        <w:t>ФГБУ «Санаторий РОП РФ «Электроника» выдать предписание об устранении нарушений Закона о контрактной системе.</w:t>
      </w:r>
    </w:p>
    <w:p>
      <w:pPr>
        <w:pStyle w:val="ListParagraph"/>
        <w:numPr>
          <w:ilvl w:val="0"/>
          <w:numId w:val="1"/>
        </w:numPr>
        <w:jc w:val="both"/>
        <w:rPr>
          <w:rFonts w:ascii="Times New Roman" w:hAnsi="Times New Roman" w:cs="Times New Roman"/>
          <w:sz w:val="26"/>
          <w:szCs w:val="26"/>
        </w:rPr>
      </w:pPr>
      <w:r>
        <w:rPr>
          <w:rFonts w:eastAsia="Times New Roman" w:cs="Times New Roman" w:ascii="Times New Roman" w:hAnsi="Times New Roman"/>
          <w:sz w:val="26"/>
          <w:szCs w:val="26"/>
        </w:rPr>
        <w:t>Передать материалы дела уполномоченному должностному лицу для рассмотрения вопроса о возбуждении административного производства по ч.5 ст.7.30.1 КоАП.</w:t>
      </w:r>
    </w:p>
    <w:p>
      <w:pPr>
        <w:pStyle w:val="ListParagraph"/>
        <w:widowControl w:val="false"/>
        <w:numPr>
          <w:ilvl w:val="0"/>
          <w:numId w:val="0"/>
        </w:numPr>
        <w:spacing w:lineRule="auto" w:line="240" w:before="0" w:after="0"/>
        <w:ind w:left="900" w:hanging="0"/>
        <w:contextualSpacing/>
        <w:jc w:val="both"/>
        <w:outlineLvl w:val="2"/>
        <w:rPr>
          <w:rFonts w:ascii="Times New Roman" w:hAnsi="Times New Roman" w:cs="Times New Roman"/>
          <w:sz w:val="26"/>
          <w:szCs w:val="26"/>
        </w:rPr>
      </w:pPr>
      <w:r>
        <w:rPr>
          <w:rFonts w:cs="Times New Roman" w:ascii="Times New Roman" w:hAnsi="Times New Roman"/>
          <w:sz w:val="26"/>
          <w:szCs w:val="26"/>
        </w:rPr>
        <w:t>Настоящее решение может быть обжаловано в арбитражном суде в течение трех месяцев в установленном законом порядке.</w:t>
      </w:r>
    </w:p>
    <w:p>
      <w:pPr>
        <w:pStyle w:val="ListParagraph"/>
        <w:tabs>
          <w:tab w:val="clear" w:pos="708"/>
          <w:tab w:val="left" w:pos="3889" w:leader="none"/>
        </w:tabs>
        <w:ind w:left="900" w:hanging="0"/>
        <w:jc w:val="both"/>
        <w:rPr>
          <w:rFonts w:ascii="Times New Roman" w:hAnsi="Times New Roman" w:cs="Times New Roman"/>
          <w:sz w:val="26"/>
          <w:szCs w:val="26"/>
        </w:rPr>
      </w:pPr>
      <w:r>
        <w:rPr>
          <w:rFonts w:cs="Times New Roman" w:ascii="Times New Roman" w:hAnsi="Times New Roman"/>
          <w:sz w:val="26"/>
          <w:szCs w:val="26"/>
        </w:rPr>
        <w:tab/>
      </w:r>
    </w:p>
    <w:p>
      <w:pPr>
        <w:pStyle w:val="ListParagraph"/>
        <w:spacing w:before="0" w:after="200"/>
        <w:ind w:left="900" w:hanging="0"/>
        <w:contextualSpacing/>
        <w:jc w:val="both"/>
        <w:rPr>
          <w:rFonts w:ascii="Times New Roman" w:hAnsi="Times New Roman" w:cs="Times New Roman"/>
          <w:sz w:val="26"/>
          <w:szCs w:val="26"/>
        </w:rPr>
      </w:pPr>
      <w:r>
        <w:rPr/>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260" w:hanging="360"/>
      </w:pPr>
    </w:lvl>
    <w:lvl w:ilvl="1">
      <w:start w:val="1"/>
      <w:numFmt w:val="lowerLetter"/>
      <w:lvlText w:val="%2."/>
      <w:lvlJc w:val="left"/>
      <w:pPr>
        <w:tabs>
          <w:tab w:val="num" w:pos="0"/>
        </w:tabs>
        <w:ind w:left="1980" w:hanging="360"/>
      </w:pPr>
    </w:lvl>
    <w:lvl w:ilvl="2">
      <w:start w:val="1"/>
      <w:numFmt w:val="lowerRoman"/>
      <w:lvlText w:val="%3."/>
      <w:lvlJc w:val="right"/>
      <w:pPr>
        <w:tabs>
          <w:tab w:val="num" w:pos="0"/>
        </w:tabs>
        <w:ind w:left="2700" w:hanging="180"/>
      </w:pPr>
    </w:lvl>
    <w:lvl w:ilvl="3">
      <w:start w:val="1"/>
      <w:numFmt w:val="decimal"/>
      <w:lvlText w:val="%4."/>
      <w:lvlJc w:val="left"/>
      <w:pPr>
        <w:tabs>
          <w:tab w:val="num" w:pos="0"/>
        </w:tabs>
        <w:ind w:left="3420" w:hanging="360"/>
      </w:pPr>
    </w:lvl>
    <w:lvl w:ilvl="4">
      <w:start w:val="1"/>
      <w:numFmt w:val="lowerLetter"/>
      <w:lvlText w:val="%5."/>
      <w:lvlJc w:val="left"/>
      <w:pPr>
        <w:tabs>
          <w:tab w:val="num" w:pos="0"/>
        </w:tabs>
        <w:ind w:left="4140" w:hanging="360"/>
      </w:pPr>
    </w:lvl>
    <w:lvl w:ilvl="5">
      <w:start w:val="1"/>
      <w:numFmt w:val="lowerRoman"/>
      <w:lvlText w:val="%6."/>
      <w:lvlJc w:val="right"/>
      <w:pPr>
        <w:tabs>
          <w:tab w:val="num" w:pos="0"/>
        </w:tabs>
        <w:ind w:left="4860" w:hanging="180"/>
      </w:pPr>
    </w:lvl>
    <w:lvl w:ilvl="6">
      <w:start w:val="1"/>
      <w:numFmt w:val="decimal"/>
      <w:lvlText w:val="%7."/>
      <w:lvlJc w:val="left"/>
      <w:pPr>
        <w:tabs>
          <w:tab w:val="num" w:pos="0"/>
        </w:tabs>
        <w:ind w:left="5580" w:hanging="360"/>
      </w:pPr>
    </w:lvl>
    <w:lvl w:ilvl="7">
      <w:start w:val="1"/>
      <w:numFmt w:val="lowerLetter"/>
      <w:lvlText w:val="%8."/>
      <w:lvlJc w:val="left"/>
      <w:pPr>
        <w:tabs>
          <w:tab w:val="num" w:pos="0"/>
        </w:tabs>
        <w:ind w:left="6300" w:hanging="360"/>
      </w:pPr>
    </w:lvl>
    <w:lvl w:ilvl="8">
      <w:start w:val="1"/>
      <w:numFmt w:val="lowerRoman"/>
      <w:lvlText w:val="%9."/>
      <w:lvlJc w:val="right"/>
      <w:pPr>
        <w:tabs>
          <w:tab w:val="num" w:pos="0"/>
        </w:tabs>
        <w:ind w:left="7020" w:hanging="18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2"/>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f6393"/>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1">
    <w:name w:val="Heading 1"/>
    <w:basedOn w:val="Normal"/>
    <w:next w:val="Normal"/>
    <w:link w:val="10"/>
    <w:uiPriority w:val="9"/>
    <w:qFormat/>
    <w:rsid w:val="0063166c"/>
    <w:pPr>
      <w:keepNext w:val="true"/>
      <w:keepLines/>
      <w:spacing w:before="240" w:after="0"/>
      <w:outlineLvl w:val="0"/>
    </w:pPr>
    <w:rPr>
      <w:rFonts w:ascii="Cambria" w:hAnsi="Cambria" w:eastAsia="" w:cs="" w:asciiTheme="majorHAnsi" w:cstheme="majorBidi" w:eastAsiaTheme="majorEastAsia" w:hAnsiTheme="majorHAnsi"/>
      <w:color w:val="365F91" w:themeColor="accent1" w:themeShade="bf"/>
      <w:sz w:val="32"/>
      <w:szCs w:val="32"/>
    </w:rPr>
  </w:style>
  <w:style w:type="paragraph" w:styleId="2">
    <w:name w:val="Heading 2"/>
    <w:basedOn w:val="Normal"/>
    <w:link w:val="20"/>
    <w:uiPriority w:val="9"/>
    <w:qFormat/>
    <w:rsid w:val="00457432"/>
    <w:pPr>
      <w:spacing w:lineRule="auto" w:line="240" w:beforeAutospacing="1" w:afterAutospacing="1"/>
      <w:outlineLvl w:val="1"/>
    </w:pPr>
    <w:rPr>
      <w:rFonts w:ascii="Times New Roman" w:hAnsi="Times New Roman" w:eastAsia="Times New Roman" w:cs="Times New Roman"/>
      <w:b/>
      <w:bCs/>
      <w:sz w:val="36"/>
      <w:szCs w:val="36"/>
      <w:lang w:eastAsia="ru-RU"/>
    </w:rPr>
  </w:style>
  <w:style w:type="paragraph" w:styleId="5">
    <w:name w:val="Heading 5"/>
    <w:basedOn w:val="Normal"/>
    <w:next w:val="Normal"/>
    <w:link w:val="50"/>
    <w:uiPriority w:val="9"/>
    <w:semiHidden/>
    <w:unhideWhenUsed/>
    <w:qFormat/>
    <w:rsid w:val="00ad4d22"/>
    <w:pPr>
      <w:keepNext w:val="true"/>
      <w:keepLines/>
      <w:spacing w:before="40" w:after="0"/>
      <w:outlineLvl w:val="4"/>
    </w:pPr>
    <w:rPr>
      <w:rFonts w:ascii="Cambria" w:hAnsi="Cambria" w:eastAsia="" w:cs="" w:asciiTheme="majorHAnsi" w:cstheme="majorBidi" w:eastAsiaTheme="majorEastAsia" w:hAnsiTheme="majorHAnsi"/>
      <w:color w:val="365F91" w:themeColor="accent1" w:themeShade="bf"/>
    </w:rPr>
  </w:style>
  <w:style w:type="character" w:styleId="DefaultParagraphFont" w:default="1">
    <w:name w:val="Default Paragraph Font"/>
    <w:uiPriority w:val="1"/>
    <w:semiHidden/>
    <w:unhideWhenUsed/>
    <w:qFormat/>
    <w:rPr/>
  </w:style>
  <w:style w:type="character" w:styleId="Style11">
    <w:name w:val="Интернет-ссылка"/>
    <w:basedOn w:val="DefaultParagraphFont"/>
    <w:uiPriority w:val="99"/>
    <w:unhideWhenUsed/>
    <w:rsid w:val="003f6393"/>
    <w:rPr>
      <w:color w:val="0000FF"/>
      <w:u w:val="single"/>
    </w:rPr>
  </w:style>
  <w:style w:type="character" w:styleId="21" w:customStyle="1">
    <w:name w:val="Заголовок 2 Знак"/>
    <w:basedOn w:val="DefaultParagraphFont"/>
    <w:link w:val="2"/>
    <w:uiPriority w:val="9"/>
    <w:qFormat/>
    <w:rsid w:val="00457432"/>
    <w:rPr>
      <w:rFonts w:ascii="Times New Roman" w:hAnsi="Times New Roman" w:eastAsia="Times New Roman" w:cs="Times New Roman"/>
      <w:b/>
      <w:bCs/>
      <w:sz w:val="36"/>
      <w:szCs w:val="36"/>
      <w:lang w:eastAsia="ru-RU"/>
    </w:rPr>
  </w:style>
  <w:style w:type="character" w:styleId="Sectioninfo" w:customStyle="1">
    <w:name w:val="section__info"/>
    <w:basedOn w:val="DefaultParagraphFont"/>
    <w:qFormat/>
    <w:rsid w:val="00457432"/>
    <w:rPr/>
  </w:style>
  <w:style w:type="character" w:styleId="Sectiontitle" w:customStyle="1">
    <w:name w:val="section__title"/>
    <w:basedOn w:val="DefaultParagraphFont"/>
    <w:qFormat/>
    <w:rsid w:val="00457432"/>
    <w:rPr/>
  </w:style>
  <w:style w:type="character" w:styleId="Timezonename" w:customStyle="1">
    <w:name w:val="timezonename"/>
    <w:basedOn w:val="DefaultParagraphFont"/>
    <w:qFormat/>
    <w:rsid w:val="00457432"/>
    <w:rPr/>
  </w:style>
  <w:style w:type="character" w:styleId="Z" w:customStyle="1">
    <w:name w:val="z-Начало формы Знак"/>
    <w:basedOn w:val="DefaultParagraphFont"/>
    <w:link w:val="z-"/>
    <w:uiPriority w:val="99"/>
    <w:semiHidden/>
    <w:qFormat/>
    <w:rsid w:val="00457432"/>
    <w:rPr>
      <w:rFonts w:ascii="Arial" w:hAnsi="Arial" w:eastAsia="Times New Roman" w:cs="Arial"/>
      <w:vanish/>
      <w:sz w:val="16"/>
      <w:szCs w:val="16"/>
      <w:lang w:eastAsia="ru-RU"/>
    </w:rPr>
  </w:style>
  <w:style w:type="character" w:styleId="Z1" w:customStyle="1">
    <w:name w:val="z-Конец формы Знак"/>
    <w:basedOn w:val="DefaultParagraphFont"/>
    <w:link w:val="z-1"/>
    <w:uiPriority w:val="99"/>
    <w:semiHidden/>
    <w:qFormat/>
    <w:rsid w:val="00457432"/>
    <w:rPr>
      <w:rFonts w:ascii="Arial" w:hAnsi="Arial" w:eastAsia="Times New Roman" w:cs="Arial"/>
      <w:vanish/>
      <w:sz w:val="16"/>
      <w:szCs w:val="16"/>
      <w:lang w:eastAsia="ru-RU"/>
    </w:rPr>
  </w:style>
  <w:style w:type="character" w:styleId="11" w:customStyle="1">
    <w:name w:val="Заголовок 1 Знак"/>
    <w:basedOn w:val="DefaultParagraphFont"/>
    <w:link w:val="1"/>
    <w:uiPriority w:val="9"/>
    <w:qFormat/>
    <w:rsid w:val="0063166c"/>
    <w:rPr>
      <w:rFonts w:ascii="Cambria" w:hAnsi="Cambria" w:eastAsia="" w:cs="" w:asciiTheme="majorHAnsi" w:cstheme="majorBidi" w:eastAsiaTheme="majorEastAsia" w:hAnsiTheme="majorHAnsi"/>
      <w:color w:val="365F91" w:themeColor="accent1" w:themeShade="bf"/>
      <w:sz w:val="32"/>
      <w:szCs w:val="32"/>
    </w:rPr>
  </w:style>
  <w:style w:type="character" w:styleId="51" w:customStyle="1">
    <w:name w:val="Заголовок 5 Знак"/>
    <w:basedOn w:val="DefaultParagraphFont"/>
    <w:link w:val="5"/>
    <w:uiPriority w:val="9"/>
    <w:semiHidden/>
    <w:qFormat/>
    <w:rsid w:val="00ad4d22"/>
    <w:rPr>
      <w:rFonts w:ascii="Cambria" w:hAnsi="Cambria" w:eastAsia="" w:cs="" w:asciiTheme="majorHAnsi" w:cstheme="majorBidi" w:eastAsiaTheme="majorEastAsia" w:hAnsiTheme="majorHAnsi"/>
      <w:color w:val="365F91" w:themeColor="accent1" w:themeShade="bf"/>
    </w:rPr>
  </w:style>
  <w:style w:type="character" w:styleId="ConsPlusNormal" w:customStyle="1">
    <w:name w:val="ConsPlusNormal Знак"/>
    <w:link w:val="ConsPlusNormal0"/>
    <w:qFormat/>
    <w:locked/>
    <w:rsid w:val="00f07904"/>
    <w:rPr>
      <w:rFonts w:ascii="Arial" w:hAnsi="Arial" w:cs="Arial"/>
    </w:rPr>
  </w:style>
  <w:style w:type="character" w:styleId="Style12" w:customStyle="1">
    <w:name w:val="Основной текст_"/>
    <w:basedOn w:val="DefaultParagraphFont"/>
    <w:link w:val="11"/>
    <w:qFormat/>
    <w:locked/>
    <w:rsid w:val="00f07904"/>
    <w:rPr>
      <w:rFonts w:ascii="Times New Roman" w:hAnsi="Times New Roman" w:eastAsia="Times New Roman" w:cs="Times New Roman"/>
    </w:rPr>
  </w:style>
  <w:style w:type="character" w:styleId="Style13" w:customStyle="1">
    <w:name w:val="Текст выноски Знак"/>
    <w:basedOn w:val="DefaultParagraphFont"/>
    <w:link w:val="a7"/>
    <w:uiPriority w:val="99"/>
    <w:semiHidden/>
    <w:qFormat/>
    <w:rsid w:val="0080449b"/>
    <w:rPr>
      <w:rFonts w:ascii="Tahoma" w:hAnsi="Tahoma" w:cs="Tahoma"/>
      <w:sz w:val="16"/>
      <w:szCs w:val="16"/>
    </w:rPr>
  </w:style>
  <w:style w:type="paragraph" w:styleId="Style14">
    <w:name w:val="Заголовок"/>
    <w:basedOn w:val="Normal"/>
    <w:next w:val="Style15"/>
    <w:qFormat/>
    <w:pPr>
      <w:keepNext w:val="true"/>
      <w:spacing w:before="240" w:after="120"/>
    </w:pPr>
    <w:rPr>
      <w:rFonts w:ascii="Liberation Sans" w:hAnsi="Liberation Sans" w:eastAsia="Microsoft YaHei" w:cs="Lucida Sans"/>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Lucida Sans"/>
    </w:rPr>
  </w:style>
  <w:style w:type="paragraph" w:styleId="Style17">
    <w:name w:val="Caption"/>
    <w:basedOn w:val="Normal"/>
    <w:qFormat/>
    <w:pPr>
      <w:suppressLineNumbers/>
      <w:spacing w:before="120" w:after="120"/>
    </w:pPr>
    <w:rPr>
      <w:rFonts w:cs="Lucida Sans"/>
      <w:i/>
      <w:iCs/>
      <w:sz w:val="24"/>
      <w:szCs w:val="24"/>
    </w:rPr>
  </w:style>
  <w:style w:type="paragraph" w:styleId="Style18">
    <w:name w:val="Указатель"/>
    <w:basedOn w:val="Normal"/>
    <w:qFormat/>
    <w:pPr>
      <w:suppressLineNumbers/>
    </w:pPr>
    <w:rPr>
      <w:rFonts w:cs="Lucida Sans"/>
      <w:lang w:val="zxx" w:eastAsia="zxx" w:bidi="zxx"/>
    </w:rPr>
  </w:style>
  <w:style w:type="paragraph" w:styleId="ListParagraph">
    <w:name w:val="List Paragraph"/>
    <w:basedOn w:val="Normal"/>
    <w:uiPriority w:val="34"/>
    <w:qFormat/>
    <w:rsid w:val="003f6393"/>
    <w:pPr>
      <w:spacing w:before="0" w:after="200"/>
      <w:ind w:left="720" w:hanging="0"/>
      <w:contextualSpacing/>
    </w:pPr>
    <w:rPr/>
  </w:style>
  <w:style w:type="paragraph" w:styleId="S1" w:customStyle="1">
    <w:name w:val="s_1"/>
    <w:basedOn w:val="Normal"/>
    <w:qFormat/>
    <w:rsid w:val="003f6393"/>
    <w:pPr>
      <w:spacing w:lineRule="auto" w:line="240" w:beforeAutospacing="1" w:afterAutospacing="1"/>
    </w:pPr>
    <w:rPr>
      <w:rFonts w:ascii="Times New Roman" w:hAnsi="Times New Roman" w:eastAsia="Times New Roman" w:cs="Times New Roman"/>
      <w:sz w:val="24"/>
      <w:szCs w:val="24"/>
      <w:lang w:eastAsia="ru-RU"/>
    </w:rPr>
  </w:style>
  <w:style w:type="paragraph" w:styleId="HTMLTopofForm">
    <w:name w:val="HTML Top of Form"/>
    <w:basedOn w:val="Normal"/>
    <w:next w:val="Normal"/>
    <w:link w:val="z-0"/>
    <w:uiPriority w:val="99"/>
    <w:semiHidden/>
    <w:unhideWhenUsed/>
    <w:qFormat/>
    <w:rsid w:val="00457432"/>
    <w:pPr>
      <w:pBdr>
        <w:bottom w:val="single" w:sz="6" w:space="1" w:color="000000"/>
      </w:pBdr>
      <w:spacing w:lineRule="auto" w:line="240" w:before="0" w:after="0"/>
      <w:jc w:val="center"/>
    </w:pPr>
    <w:rPr>
      <w:rFonts w:ascii="Arial" w:hAnsi="Arial" w:eastAsia="Times New Roman" w:cs="Arial"/>
      <w:vanish/>
      <w:sz w:val="16"/>
      <w:szCs w:val="16"/>
      <w:lang w:eastAsia="ru-RU"/>
    </w:rPr>
  </w:style>
  <w:style w:type="paragraph" w:styleId="HTMLBottomofForm">
    <w:name w:val="HTML Bottom of Form"/>
    <w:basedOn w:val="Normal"/>
    <w:next w:val="Normal"/>
    <w:link w:val="z-2"/>
    <w:uiPriority w:val="99"/>
    <w:semiHidden/>
    <w:unhideWhenUsed/>
    <w:qFormat/>
    <w:rsid w:val="00457432"/>
    <w:pPr>
      <w:pBdr>
        <w:top w:val="single" w:sz="6" w:space="1" w:color="000000"/>
      </w:pBdr>
      <w:spacing w:lineRule="auto" w:line="240" w:before="0" w:after="0"/>
      <w:jc w:val="center"/>
    </w:pPr>
    <w:rPr>
      <w:rFonts w:ascii="Arial" w:hAnsi="Arial" w:eastAsia="Times New Roman" w:cs="Arial"/>
      <w:vanish/>
      <w:sz w:val="16"/>
      <w:szCs w:val="16"/>
      <w:lang w:eastAsia="ru-RU"/>
    </w:rPr>
  </w:style>
  <w:style w:type="paragraph" w:styleId="S9" w:customStyle="1">
    <w:name w:val="s_9"/>
    <w:basedOn w:val="Normal"/>
    <w:qFormat/>
    <w:rsid w:val="00736ef7"/>
    <w:pPr>
      <w:spacing w:lineRule="auto" w:line="240" w:beforeAutospacing="1" w:afterAutospacing="1"/>
    </w:pPr>
    <w:rPr>
      <w:rFonts w:ascii="Times New Roman" w:hAnsi="Times New Roman" w:eastAsia="Times New Roman" w:cs="Times New Roman"/>
      <w:sz w:val="24"/>
      <w:szCs w:val="24"/>
      <w:lang w:eastAsia="ru-RU"/>
    </w:rPr>
  </w:style>
  <w:style w:type="paragraph" w:styleId="NormalWeb">
    <w:name w:val="Normal (Web)"/>
    <w:basedOn w:val="Normal"/>
    <w:uiPriority w:val="99"/>
    <w:semiHidden/>
    <w:unhideWhenUsed/>
    <w:qFormat/>
    <w:rsid w:val="00ad4d22"/>
    <w:pPr>
      <w:spacing w:lineRule="auto" w:line="240" w:beforeAutospacing="1" w:afterAutospacing="1"/>
    </w:pPr>
    <w:rPr>
      <w:rFonts w:ascii="Times New Roman" w:hAnsi="Times New Roman" w:eastAsia="Times New Roman" w:cs="Times New Roman"/>
      <w:sz w:val="24"/>
      <w:szCs w:val="24"/>
      <w:lang w:eastAsia="ru-RU"/>
    </w:rPr>
  </w:style>
  <w:style w:type="paragraph" w:styleId="ConsPlusNormal1" w:customStyle="1">
    <w:name w:val="ConsPlusNormal"/>
    <w:link w:val="ConsPlusNormal"/>
    <w:qFormat/>
    <w:rsid w:val="00f07904"/>
    <w:pPr>
      <w:widowControl/>
      <w:suppressAutoHyphens w:val="true"/>
      <w:bidi w:val="0"/>
      <w:spacing w:lineRule="auto" w:line="240" w:before="0" w:after="0"/>
      <w:jc w:val="left"/>
    </w:pPr>
    <w:rPr>
      <w:rFonts w:ascii="Arial" w:hAnsi="Arial" w:eastAsia="Calibri" w:cs="Arial" w:eastAsiaTheme="minorHAnsi"/>
      <w:color w:val="auto"/>
      <w:kern w:val="0"/>
      <w:sz w:val="22"/>
      <w:szCs w:val="22"/>
      <w:lang w:val="ru-RU" w:eastAsia="en-US" w:bidi="ar-SA"/>
    </w:rPr>
  </w:style>
  <w:style w:type="paragraph" w:styleId="12" w:customStyle="1">
    <w:name w:val="Основной текст1"/>
    <w:basedOn w:val="Normal"/>
    <w:link w:val="a6"/>
    <w:qFormat/>
    <w:rsid w:val="00f07904"/>
    <w:pPr>
      <w:widowControl w:val="false"/>
      <w:spacing w:lineRule="auto" w:line="360" w:before="0" w:after="0"/>
      <w:ind w:firstLine="400"/>
    </w:pPr>
    <w:rPr>
      <w:rFonts w:ascii="Times New Roman" w:hAnsi="Times New Roman" w:eastAsia="Times New Roman" w:cs="Times New Roman"/>
    </w:rPr>
  </w:style>
  <w:style w:type="paragraph" w:styleId="BalloonText">
    <w:name w:val="Balloon Text"/>
    <w:basedOn w:val="Normal"/>
    <w:link w:val="a8"/>
    <w:uiPriority w:val="99"/>
    <w:semiHidden/>
    <w:unhideWhenUsed/>
    <w:qFormat/>
    <w:rsid w:val="0080449b"/>
    <w:pPr>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1C1771-81B0-4461-A8D4-423C6AA6D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2951</TotalTime>
  <Application>LibreOffice/7.2.5.2$Windows_X86_64 LibreOffice_project/499f9727c189e6ef3471021d6132d4c694f357e5</Application>
  <AppVersion>15.0000</AppVersion>
  <Pages>5</Pages>
  <Words>1266</Words>
  <Characters>9159</Characters>
  <CharactersWithSpaces>10610</CharactersWithSpaces>
  <Paragraphs>49</Paragraphs>
  <Company>Computer</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2023-07-02T08:17:00Z</dcterms:created>
  <dc:creator>User</dc:creator>
  <dc:description/>
  <dc:language>ru-RU</dc:language>
  <cp:lastModifiedBy/>
  <dcterms:modified xsi:type="dcterms:W3CDTF">2026-05-15T10:22:16Z</dcterms:modified>
  <cp:revision>2077</cp:revision>
  <dc:subject/>
  <dc:title/>
</cp:coreProperties>
</file>

<file path=docProps/custom.xml><?xml version="1.0" encoding="utf-8"?>
<Properties xmlns="http://schemas.openxmlformats.org/officeDocument/2006/custom-properties" xmlns:vt="http://schemas.openxmlformats.org/officeDocument/2006/docPropsVTypes"/>
</file>