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26"/>
          <w:szCs w:val="26"/>
        </w:rPr>
      </w:pPr>
      <w:r>
        <w:rPr>
          <w:rFonts w:cs="Times New Roman" w:ascii="Times New Roman" w:hAnsi="Times New Roman"/>
          <w:sz w:val="26"/>
          <w:szCs w:val="26"/>
        </w:rPr>
        <w:t xml:space="preserve">РЕШЕНИЕ </w:t>
      </w:r>
    </w:p>
    <w:p>
      <w:pPr>
        <w:pStyle w:val="Normal"/>
        <w:jc w:val="center"/>
        <w:rPr>
          <w:rFonts w:ascii="Times New Roman" w:hAnsi="Times New Roman" w:cs="Times New Roman"/>
          <w:sz w:val="26"/>
          <w:szCs w:val="26"/>
        </w:rPr>
      </w:pPr>
      <w:r>
        <w:rPr>
          <w:rFonts w:cs="Times New Roman" w:ascii="Times New Roman" w:hAnsi="Times New Roman"/>
          <w:sz w:val="26"/>
          <w:szCs w:val="26"/>
        </w:rPr>
        <w:t>по делу № 023/06/105-1897/2026</w:t>
      </w:r>
    </w:p>
    <w:p>
      <w:pPr>
        <w:pStyle w:val="Normal"/>
        <w:jc w:val="center"/>
        <w:rPr>
          <w:rFonts w:ascii="Times New Roman" w:hAnsi="Times New Roman" w:eastAsia="Times New Roman" w:cs="Times New Roman"/>
          <w:sz w:val="26"/>
          <w:szCs w:val="26"/>
        </w:rPr>
      </w:pPr>
      <w:r>
        <w:rPr>
          <w:rFonts w:eastAsia="Times New Roman" w:cs="Times New Roman" w:ascii="Times New Roman" w:hAnsi="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pPr>
        <w:pStyle w:val="Normal"/>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07 мая 2026 года                                                                                       г. Краснодар</w:t>
      </w:r>
    </w:p>
    <w:p>
      <w:pPr>
        <w:pStyle w:val="Normal"/>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ab/>
        <w:t>рассмотрев жалобу ООО «Русмед» (далее Заявитель) на действия заказчика – ГБУЗ «ККБ №2» МЗ КК при проведении электронного аукциона: «Поставка медицинских изделий для клинико-диагностической лаборатории (наконечники, контейнеры, пробирки)» (извещение № 0318300126726000326) в части нарушения законодательства о контрактной системе,</w:t>
      </w:r>
    </w:p>
    <w:p>
      <w:pPr>
        <w:pStyle w:val="Normal"/>
        <w:jc w:val="center"/>
        <w:rPr>
          <w:rFonts w:ascii="Times New Roman" w:hAnsi="Times New Roman" w:cs="Times New Roman"/>
          <w:sz w:val="26"/>
          <w:szCs w:val="26"/>
        </w:rPr>
      </w:pPr>
      <w:r>
        <w:rPr>
          <w:rFonts w:cs="Times New Roman" w:ascii="Times New Roman" w:hAnsi="Times New Roman"/>
          <w:sz w:val="26"/>
          <w:szCs w:val="26"/>
        </w:rPr>
        <w:t>УСТАНОВИЛА:</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Заявитель указывает, что извещение содержит нарушение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Закона о контрактной системе): в описание объекта указаны характеристики, которые соответствуют продукции единственного производителя.</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 xml:space="preserve">Заказчик с доводами жалобы не согласился. Описание объекта закупки соответствует ст.33 Закона о контрактной системе и составлено с учетом потребностей медицинской организации. </w:t>
      </w:r>
    </w:p>
    <w:p>
      <w:pPr>
        <w:pStyle w:val="Normal"/>
        <w:jc w:val="both"/>
        <w:rPr>
          <w:rFonts w:ascii="Times New Roman" w:hAnsi="Times New Roman" w:cs="Times New Roman"/>
          <w:sz w:val="26"/>
          <w:szCs w:val="26"/>
        </w:rPr>
      </w:pPr>
      <w:r>
        <w:rPr>
          <w:rFonts w:cs="Times New Roman" w:ascii="Times New Roman" w:hAnsi="Times New Roman"/>
          <w:sz w:val="26"/>
          <w:szCs w:val="26"/>
        </w:rPr>
        <w:tab/>
        <w:t>Рассмотрев представленные материалы, Комиссия пришла к следующим выводам.</w:t>
      </w:r>
    </w:p>
    <w:p>
      <w:pPr>
        <w:pStyle w:val="Normal"/>
        <w:jc w:val="both"/>
        <w:rPr>
          <w:rFonts w:ascii="Times New Roman" w:hAnsi="Times New Roman" w:eastAsia="Times New Roman" w:cs="Times New Roman"/>
          <w:sz w:val="26"/>
          <w:szCs w:val="26"/>
        </w:rPr>
      </w:pPr>
      <w:r>
        <w:rPr>
          <w:rFonts w:cs="Times New Roman" w:ascii="Times New Roman" w:hAnsi="Times New Roman"/>
          <w:sz w:val="26"/>
          <w:szCs w:val="26"/>
        </w:rPr>
        <w:tab/>
        <w:t>Заказчиком –</w:t>
      </w:r>
      <w:r>
        <w:rPr>
          <w:rFonts w:eastAsia="Times New Roman" w:cs="Times New Roman" w:ascii="Times New Roman" w:hAnsi="Times New Roman"/>
          <w:sz w:val="26"/>
          <w:szCs w:val="26"/>
        </w:rPr>
        <w:t xml:space="preserve"> ГБУЗ «ККБ №2» МЗ КК </w:t>
      </w:r>
      <w:r>
        <w:rPr>
          <w:rFonts w:cs="Times New Roman" w:ascii="Times New Roman" w:hAnsi="Times New Roman"/>
          <w:sz w:val="26"/>
          <w:szCs w:val="26"/>
        </w:rPr>
        <w:t xml:space="preserve">в ЕИС 24.04.2026 </w:t>
      </w:r>
      <w:r>
        <w:rPr>
          <w:rFonts w:eastAsia="Times New Roman" w:cs="Times New Roman" w:ascii="Times New Roman" w:hAnsi="Times New Roman"/>
          <w:sz w:val="26"/>
          <w:szCs w:val="26"/>
        </w:rPr>
        <w:t>размещено извещение о проведении электронного аукциона: «Поставка медицинских изделий для клинико-диагностической лаборатории (наконечники, контейнеры, пробирки)» (извещение № 0318300126726000326).</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1) описание объекта закупки в соответствии со статьей 33 настоящего Федерального закона;</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5) проект контракта.</w:t>
      </w:r>
    </w:p>
    <w:p>
      <w:pPr>
        <w:pStyle w:val="S1"/>
        <w:shd w:val="clear" w:color="auto" w:fill="FFFFFF"/>
        <w:spacing w:beforeAutospacing="0" w:before="0" w:afterAutospacing="0" w:after="300"/>
        <w:ind w:firstLine="708"/>
        <w:jc w:val="both"/>
        <w:rPr>
          <w:color w:val="464C55"/>
          <w:sz w:val="26"/>
          <w:szCs w:val="26"/>
        </w:rPr>
      </w:pPr>
      <w:r>
        <w:rPr>
          <w:color w:val="22272F"/>
          <w:sz w:val="26"/>
          <w:szCs w:val="26"/>
        </w:rPr>
        <w:t>Согласно п.1) ч.1 ст.33 Закона о контрактной системе </w:t>
      </w:r>
      <w:r>
        <w:rPr>
          <w:color w:val="464C55"/>
          <w:sz w:val="26"/>
          <w:szCs w:val="26"/>
        </w:rPr>
        <w:t>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1"/>
        <w:shd w:val="clear" w:color="auto" w:fill="FFFFFF"/>
        <w:spacing w:beforeAutospacing="0" w:before="0" w:afterAutospacing="0" w:after="300"/>
        <w:jc w:val="both"/>
        <w:rPr>
          <w:color w:val="464C55"/>
          <w:sz w:val="26"/>
          <w:szCs w:val="26"/>
        </w:rPr>
      </w:pPr>
      <w:r>
        <w:rPr>
          <w:color w:val="464C55"/>
          <w:sz w:val="26"/>
          <w:szCs w:val="26"/>
        </w:rPr>
        <w:t>а) сопровождение такого указания словами "или эквивалент";</w:t>
      </w:r>
    </w:p>
    <w:p>
      <w:pPr>
        <w:pStyle w:val="S1"/>
        <w:shd w:val="clear" w:color="auto" w:fill="FFFFFF"/>
        <w:spacing w:beforeAutospacing="0" w:before="0" w:afterAutospacing="0" w:after="300"/>
        <w:jc w:val="both"/>
        <w:rPr>
          <w:color w:val="464C55"/>
          <w:sz w:val="26"/>
          <w:szCs w:val="26"/>
        </w:rPr>
      </w:pPr>
      <w:r>
        <w:rPr>
          <w:color w:val="464C55"/>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1"/>
        <w:shd w:val="clear" w:color="auto" w:fill="FFFFFF"/>
        <w:spacing w:beforeAutospacing="0" w:before="0" w:afterAutospacing="0" w:after="300"/>
        <w:jc w:val="both"/>
        <w:rPr>
          <w:color w:val="464C55"/>
          <w:sz w:val="26"/>
          <w:szCs w:val="26"/>
        </w:rPr>
      </w:pPr>
      <w:r>
        <w:rPr>
          <w:color w:val="464C55"/>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1"/>
        <w:shd w:val="clear" w:color="auto" w:fill="FFFFFF"/>
        <w:spacing w:beforeAutospacing="0" w:before="0" w:afterAutospacing="0" w:after="0"/>
        <w:jc w:val="both"/>
        <w:rPr>
          <w:color w:val="464C55"/>
          <w:sz w:val="26"/>
          <w:szCs w:val="26"/>
        </w:rPr>
      </w:pPr>
      <w:r>
        <w:rPr>
          <w:color w:val="464C55"/>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r>
        <w:fldChar w:fldCharType="begin"/>
      </w:r>
      <w:r>
        <w:rPr>
          <w:sz w:val="26"/>
          <w:szCs w:val="26"/>
          <w:color w:val="3272C0"/>
        </w:rPr>
        <w:instrText> HYPERLINK "https://base.garant.ru/408401807/13e5f39dbdac86e5a4915e063b0a7798/" \l "block_1000"</w:instrText>
      </w:r>
      <w:r>
        <w:rPr>
          <w:sz w:val="26"/>
          <w:szCs w:val="26"/>
          <w:color w:val="3272C0"/>
        </w:rPr>
        <w:fldChar w:fldCharType="separate"/>
      </w:r>
      <w:r>
        <w:rPr>
          <w:color w:val="3272C0"/>
          <w:sz w:val="26"/>
          <w:szCs w:val="26"/>
        </w:rPr>
        <w:t>Перечень</w:t>
      </w:r>
      <w:r>
        <w:rPr>
          <w:sz w:val="26"/>
          <w:szCs w:val="26"/>
          <w:color w:val="3272C0"/>
        </w:rPr>
        <w:fldChar w:fldCharType="end"/>
      </w:r>
      <w:r>
        <w:rPr>
          <w:color w:val="464C55"/>
          <w:sz w:val="26"/>
          <w:szCs w:val="26"/>
        </w:rPr>
        <w:t> указанных медицинских изделий, специализированных продуктов лечебного питания и </w:t>
      </w:r>
      <w:r>
        <w:fldChar w:fldCharType="begin"/>
      </w:r>
      <w:r>
        <w:rPr>
          <w:sz w:val="26"/>
          <w:szCs w:val="26"/>
          <w:color w:val="3272C0"/>
        </w:rPr>
        <w:instrText> HYPERLINK "https://base.garant.ru/407562325/f4e49e50581f8fb571fcdf9b91d0af76/" \l "block_1000"</w:instrText>
      </w:r>
      <w:r>
        <w:rPr>
          <w:sz w:val="26"/>
          <w:szCs w:val="26"/>
          <w:color w:val="3272C0"/>
        </w:rPr>
        <w:fldChar w:fldCharType="separate"/>
      </w:r>
      <w:r>
        <w:rPr>
          <w:color w:val="3272C0"/>
          <w:sz w:val="26"/>
          <w:szCs w:val="26"/>
        </w:rPr>
        <w:t>порядок</w:t>
      </w:r>
      <w:r>
        <w:rPr>
          <w:sz w:val="26"/>
          <w:szCs w:val="26"/>
          <w:color w:val="3272C0"/>
        </w:rPr>
        <w:fldChar w:fldCharType="end"/>
      </w:r>
      <w:r>
        <w:rPr>
          <w:color w:val="464C55"/>
          <w:sz w:val="26"/>
          <w:szCs w:val="26"/>
        </w:rPr>
        <w:t> его формирования утверждаются Правительством Российской Федерации.</w:t>
      </w:r>
    </w:p>
    <w:p>
      <w:pPr>
        <w:pStyle w:val="Normal"/>
        <w:ind w:firstLine="708"/>
        <w:jc w:val="both"/>
        <w:rPr>
          <w:rFonts w:ascii="Times New Roman" w:hAnsi="Times New Roman" w:eastAsia="Times New Roman" w:cs="Times New Roman"/>
          <w:sz w:val="26"/>
          <w:szCs w:val="26"/>
        </w:rPr>
      </w:pPr>
      <w:bookmarkStart w:id="0" w:name="dst744"/>
      <w:bookmarkEnd w:id="0"/>
      <w:r>
        <w:rPr>
          <w:rFonts w:cs="Times New Roman" w:ascii="Times New Roman" w:hAnsi="Times New Roman"/>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Pr>
          <w:rFonts w:eastAsia="Times New Roman" w:cs="Times New Roman" w:ascii="Times New Roman" w:hAnsi="Times New Roman"/>
          <w:sz w:val="26"/>
          <w:szCs w:val="26"/>
        </w:rPr>
        <w:t xml:space="preserve"> </w:t>
      </w:r>
    </w:p>
    <w:p>
      <w:pPr>
        <w:pStyle w:val="Normal"/>
        <w:ind w:firstLine="708"/>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В Описании объекта закупки заказчиком установлены требования к закупаемому товару. </w:t>
      </w:r>
    </w:p>
    <w:p>
      <w:pPr>
        <w:pStyle w:val="Normal"/>
        <w:ind w:firstLine="708"/>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Заявитель указывает, что поз.11 Описания объекта закупки Контейнер для анализа ИВД, одноразового использования с установленными характеристиками соответствует продукции одного производителя. В поз.12 Описания указана характеристика: совместимость с </w:t>
      </w:r>
      <w:r>
        <w:rPr>
          <w:rFonts w:eastAsia="Times New Roman" w:cs="Times New Roman" w:ascii="Times New Roman" w:hAnsi="Times New Roman"/>
          <w:sz w:val="26"/>
          <w:szCs w:val="26"/>
          <w:lang w:val="en-US"/>
        </w:rPr>
        <w:t>Immulite</w:t>
      </w:r>
      <w:r>
        <w:rPr>
          <w:rFonts w:eastAsia="Times New Roman" w:cs="Times New Roman" w:ascii="Times New Roman" w:hAnsi="Times New Roman"/>
          <w:sz w:val="26"/>
          <w:szCs w:val="26"/>
        </w:rPr>
        <w:t xml:space="preserve"> 2000, что ограничивает конкуренцию.</w:t>
      </w:r>
    </w:p>
    <w:p>
      <w:pPr>
        <w:pStyle w:val="Normal"/>
        <w:ind w:firstLine="708"/>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Комиссией установлено, что в поз.11 Описания объекта закупки требуется контейнер для анализа ИВД, одноразового использования КТРУ 22.29.29.130-00010. При описании использовались характеристики из КТРУ, а также дополнительные характеристики с обоснованием.</w:t>
      </w:r>
    </w:p>
    <w:p>
      <w:pPr>
        <w:pStyle w:val="Normal"/>
        <w:ind w:firstLine="708"/>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В поз.12 требуется пробирка для микропроб ОКПД2 32.50.50.190 с характеристикой – совместимость с автоматическим иммунохемилюминесцентным анализатором </w:t>
      </w:r>
      <w:r>
        <w:rPr>
          <w:rFonts w:eastAsia="Times New Roman" w:cs="Times New Roman" w:ascii="Times New Roman" w:hAnsi="Times New Roman"/>
          <w:sz w:val="26"/>
          <w:szCs w:val="26"/>
          <w:lang w:val="en-US"/>
        </w:rPr>
        <w:t>Immulite</w:t>
      </w:r>
      <w:r>
        <w:rPr>
          <w:rFonts w:eastAsia="Times New Roman" w:cs="Times New Roman" w:ascii="Times New Roman" w:hAnsi="Times New Roman"/>
          <w:sz w:val="26"/>
          <w:szCs w:val="26"/>
        </w:rPr>
        <w:t>2000, имеющимся у заказчика.</w:t>
      </w:r>
    </w:p>
    <w:p>
      <w:pPr>
        <w:pStyle w:val="Normal"/>
        <w:ind w:firstLine="708"/>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Представитель заказчика пояснил, что вся закупаемая продукция технологически и функционально связана между собой и используется в едином технологическом процессе КДЛ Заказчика.</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В соответствии с позицией ФАС России при проведении закупок заказчики описывают объекты закупок, руководствуясь положениями Закона о контрактной системе, при условии, что такие требования не влекут за собой ограничение количества участников закупки. При этом, по мнению ФАС России, объект закупки должен быть сформирован таким образом, чтобы совокупность характеристик закупаемого товара соответствовала товару нескольких производителей.</w:t>
      </w:r>
    </w:p>
    <w:p>
      <w:pPr>
        <w:pStyle w:val="Normal"/>
        <w:ind w:firstLine="708"/>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Заявитель в доводах жалобы не предоставил информацию и доказательства о соответствии характеристик единственному производителю, в том числе с указанием наименования производителя.</w:t>
      </w:r>
    </w:p>
    <w:p>
      <w:pPr>
        <w:pStyle w:val="Normal"/>
        <w:ind w:firstLine="708"/>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Представитель заказчика пояснил, что по указанным позициям участники могут предложить товар производителей ФСЗ 2009/04699, ФСЗ 2010/08230, ФСЗ 2007/00551, ФСЗ 2011/09223.</w:t>
      </w:r>
    </w:p>
    <w:p>
      <w:pPr>
        <w:pStyle w:val="Normal"/>
        <w:ind w:firstLine="540"/>
        <w:jc w:val="both"/>
        <w:rPr>
          <w:rFonts w:ascii="Times New Roman" w:hAnsi="Times New Roman" w:cs="Times New Roman"/>
          <w:color w:val="464C55"/>
          <w:sz w:val="26"/>
          <w:szCs w:val="26"/>
          <w:shd w:fill="FFFFFF" w:val="clear"/>
        </w:rPr>
      </w:pPr>
      <w:r>
        <w:rPr>
          <w:rFonts w:cs="Times New Roman" w:ascii="Times New Roman" w:hAnsi="Times New Roman"/>
          <w:color w:val="464C55"/>
          <w:sz w:val="26"/>
          <w:szCs w:val="26"/>
          <w:shd w:fill="FFFFFF" w:val="clear"/>
        </w:rPr>
        <w:t xml:space="preserve">Таким образом, Комиссия с учетом установленных обстоятельств приходит к выводу, что извещение закупки не нарушает положения </w:t>
      </w:r>
      <w:r>
        <w:rPr>
          <w:rFonts w:cs="Times New Roman" w:ascii="Times New Roman" w:hAnsi="Times New Roman"/>
          <w:sz w:val="26"/>
          <w:szCs w:val="26"/>
        </w:rPr>
        <w:t>п.1) ч.2 ст.42,</w:t>
      </w:r>
      <w:r>
        <w:rPr>
          <w:rFonts w:cs="Times New Roman" w:ascii="Times New Roman" w:hAnsi="Times New Roman"/>
          <w:color w:val="464C55"/>
          <w:sz w:val="26"/>
          <w:szCs w:val="26"/>
          <w:shd w:fill="FFFFFF" w:val="clear"/>
        </w:rPr>
        <w:t xml:space="preserve"> п.1) ч.1 ст.33 Закона о контрактной системе. </w:t>
      </w:r>
    </w:p>
    <w:p>
      <w:pPr>
        <w:pStyle w:val="Normal"/>
        <w:ind w:firstLine="540"/>
        <w:jc w:val="both"/>
        <w:rPr>
          <w:rFonts w:ascii="Times New Roman" w:hAnsi="Times New Roman" w:cs="Times New Roman"/>
          <w:sz w:val="26"/>
          <w:szCs w:val="26"/>
        </w:rPr>
      </w:pPr>
      <w:r>
        <w:rPr>
          <w:rFonts w:cs="Times New Roman" w:ascii="Times New Roman" w:hAnsi="Times New Roman"/>
          <w:sz w:val="26"/>
          <w:szCs w:val="26"/>
        </w:rPr>
        <w:t>Комиссия, руководствуясь ч.15 ст.99, ч.8 ст.106 Закона о контрактной системе,</w:t>
      </w:r>
    </w:p>
    <w:p>
      <w:pPr>
        <w:pStyle w:val="Normal"/>
        <w:ind w:firstLine="540"/>
        <w:jc w:val="both"/>
        <w:rPr>
          <w:rFonts w:ascii="Times New Roman" w:hAnsi="Times New Roman" w:cs="Times New Roman"/>
          <w:sz w:val="26"/>
          <w:szCs w:val="26"/>
        </w:rPr>
      </w:pPr>
      <w:r>
        <w:rPr/>
      </w:r>
    </w:p>
    <w:p>
      <w:pPr>
        <w:pStyle w:val="Normal"/>
        <w:widowControl w:val="false"/>
        <w:numPr>
          <w:ilvl w:val="0"/>
          <w:numId w:val="0"/>
        </w:numPr>
        <w:spacing w:lineRule="auto" w:line="240" w:before="0" w:after="0"/>
        <w:ind w:firstLine="540"/>
        <w:jc w:val="both"/>
        <w:outlineLvl w:val="2"/>
        <w:rPr>
          <w:rFonts w:ascii="Times New Roman" w:hAnsi="Times New Roman" w:cs="Times New Roman"/>
          <w:sz w:val="26"/>
          <w:szCs w:val="26"/>
        </w:rPr>
      </w:pPr>
      <w:r>
        <w:rPr>
          <w:rFonts w:cs="Times New Roman" w:ascii="Times New Roman" w:hAnsi="Times New Roman"/>
          <w:sz w:val="26"/>
          <w:szCs w:val="26"/>
        </w:rPr>
      </w:r>
    </w:p>
    <w:p>
      <w:pPr>
        <w:pStyle w:val="Normal"/>
        <w:widowControl w:val="false"/>
        <w:numPr>
          <w:ilvl w:val="0"/>
          <w:numId w:val="0"/>
        </w:numPr>
        <w:spacing w:lineRule="auto" w:line="240" w:before="0" w:after="0"/>
        <w:ind w:firstLine="540"/>
        <w:jc w:val="center"/>
        <w:outlineLvl w:val="2"/>
        <w:rPr>
          <w:rFonts w:ascii="Times New Roman" w:hAnsi="Times New Roman" w:cs="Times New Roman"/>
          <w:sz w:val="26"/>
          <w:szCs w:val="26"/>
        </w:rPr>
      </w:pPr>
      <w:r>
        <w:rPr>
          <w:rFonts w:cs="Times New Roman" w:ascii="Times New Roman" w:hAnsi="Times New Roman"/>
          <w:sz w:val="26"/>
          <w:szCs w:val="26"/>
        </w:rPr>
        <w:t>РЕШИЛА:</w:t>
      </w:r>
    </w:p>
    <w:p>
      <w:pPr>
        <w:pStyle w:val="Normal"/>
        <w:widowControl w:val="false"/>
        <w:numPr>
          <w:ilvl w:val="0"/>
          <w:numId w:val="0"/>
        </w:numPr>
        <w:spacing w:lineRule="auto" w:line="240" w:before="0" w:after="0"/>
        <w:ind w:firstLine="540"/>
        <w:jc w:val="center"/>
        <w:outlineLvl w:val="2"/>
        <w:rPr>
          <w:rFonts w:ascii="Times New Roman" w:hAnsi="Times New Roman" w:cs="Times New Roman"/>
          <w:sz w:val="26"/>
          <w:szCs w:val="26"/>
        </w:rPr>
      </w:pPr>
      <w:r>
        <w:rPr>
          <w:rFonts w:cs="Times New Roman" w:ascii="Times New Roman" w:hAnsi="Times New Roman"/>
          <w:sz w:val="26"/>
          <w:szCs w:val="26"/>
        </w:rPr>
      </w:r>
    </w:p>
    <w:p>
      <w:pPr>
        <w:pStyle w:val="ListParagraph"/>
        <w:numPr>
          <w:ilvl w:val="0"/>
          <w:numId w:val="1"/>
        </w:numPr>
        <w:jc w:val="both"/>
        <w:rPr>
          <w:rFonts w:ascii="Times New Roman" w:hAnsi="Times New Roman" w:cs="Times New Roman"/>
          <w:color w:val="464C55"/>
          <w:sz w:val="26"/>
          <w:szCs w:val="26"/>
          <w:shd w:fill="FFFFFF" w:val="clear"/>
        </w:rPr>
      </w:pPr>
      <w:r>
        <w:rPr>
          <w:rFonts w:cs="Times New Roman" w:ascii="Times New Roman" w:hAnsi="Times New Roman"/>
          <w:color w:val="464C55"/>
          <w:sz w:val="26"/>
          <w:szCs w:val="26"/>
          <w:shd w:fill="FFFFFF" w:val="clear"/>
        </w:rPr>
        <w:t>Признать жалобу ООО «Русмед» необоснованной.</w:t>
      </w:r>
    </w:p>
    <w:p>
      <w:pPr>
        <w:pStyle w:val="ListParagraph"/>
        <w:numPr>
          <w:ilvl w:val="0"/>
          <w:numId w:val="1"/>
        </w:numPr>
        <w:jc w:val="both"/>
        <w:rPr>
          <w:rFonts w:ascii="Times New Roman" w:hAnsi="Times New Roman" w:cs="Times New Roman"/>
          <w:color w:val="464C55"/>
          <w:sz w:val="26"/>
          <w:szCs w:val="26"/>
          <w:shd w:fill="FFFFFF" w:val="clear"/>
        </w:rPr>
      </w:pPr>
      <w:r>
        <w:rPr>
          <w:rFonts w:cs="Times New Roman" w:ascii="Times New Roman" w:hAnsi="Times New Roman"/>
          <w:color w:val="464C55"/>
          <w:sz w:val="26"/>
          <w:szCs w:val="26"/>
          <w:shd w:fill="FFFFFF" w:val="clear"/>
        </w:rPr>
        <w:t>Отменить приостановление определения поставщика (подрядчика, исполнителя) в части подписания контракта.</w:t>
      </w:r>
    </w:p>
    <w:p>
      <w:pPr>
        <w:pStyle w:val="ListParagraph"/>
        <w:widowControl w:val="false"/>
        <w:numPr>
          <w:ilvl w:val="0"/>
          <w:numId w:val="0"/>
        </w:numPr>
        <w:spacing w:lineRule="auto" w:line="240" w:before="0" w:after="0"/>
        <w:ind w:left="1065" w:hanging="0"/>
        <w:contextualSpacing/>
        <w:jc w:val="both"/>
        <w:outlineLvl w:val="2"/>
        <w:rPr>
          <w:rFonts w:ascii="Times New Roman" w:hAnsi="Times New Roman" w:cs="Times New Roman"/>
          <w:sz w:val="26"/>
          <w:szCs w:val="26"/>
        </w:rPr>
      </w:pPr>
      <w:r>
        <w:rPr>
          <w:rFonts w:cs="Times New Roman" w:ascii="Times New Roman" w:hAnsi="Times New Roman"/>
          <w:sz w:val="26"/>
          <w:szCs w:val="26"/>
        </w:rPr>
        <w:t>Настоящее решение может быть обжаловано в арбитражном суде в течение трех месяцев в установленном законом порядке.</w:t>
      </w:r>
    </w:p>
    <w:p>
      <w:pPr>
        <w:pStyle w:val="ListParagraph"/>
        <w:widowControl w:val="false"/>
        <w:numPr>
          <w:ilvl w:val="0"/>
          <w:numId w:val="0"/>
        </w:numPr>
        <w:spacing w:lineRule="auto" w:line="240" w:before="0" w:after="0"/>
        <w:ind w:left="1065" w:hanging="0"/>
        <w:contextualSpacing/>
        <w:jc w:val="both"/>
        <w:outlineLvl w:val="2"/>
        <w:rPr>
          <w:rFonts w:ascii="Times New Roman" w:hAnsi="Times New Roman" w:cs="Times New Roman"/>
          <w:sz w:val="26"/>
          <w:szCs w:val="26"/>
        </w:rPr>
      </w:pPr>
      <w:r>
        <w:rPr>
          <w:rFonts w:cs="Times New Roman" w:ascii="Times New Roman" w:hAnsi="Times New Roman"/>
          <w:sz w:val="26"/>
          <w:szCs w:val="26"/>
        </w:rPr>
      </w:r>
    </w:p>
    <w:p>
      <w:pPr>
        <w:pStyle w:val="Normal"/>
        <w:spacing w:before="0" w:after="200"/>
        <w:rPr>
          <w:rFonts w:ascii="Times New Roman" w:hAnsi="Times New Roman" w:cs="Times New Roman"/>
          <w:sz w:val="26"/>
          <w:szCs w:val="26"/>
        </w:rPr>
      </w:pPr>
      <w:r>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2"/>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f6393"/>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1">
    <w:name w:val="Heading 1"/>
    <w:basedOn w:val="Normal"/>
    <w:next w:val="Normal"/>
    <w:link w:val="10"/>
    <w:uiPriority w:val="9"/>
    <w:qFormat/>
    <w:rsid w:val="0063166c"/>
    <w:pPr>
      <w:keepNext w:val="true"/>
      <w:keepLines/>
      <w:spacing w:before="240" w:after="0"/>
      <w:outlineLvl w:val="0"/>
    </w:pPr>
    <w:rPr>
      <w:rFonts w:ascii="Cambria" w:hAnsi="Cambria" w:eastAsia="" w:cs="" w:asciiTheme="majorHAnsi" w:cstheme="majorBidi" w:eastAsiaTheme="majorEastAsia" w:hAnsiTheme="majorHAnsi"/>
      <w:color w:val="365F91" w:themeColor="accent1" w:themeShade="bf"/>
      <w:sz w:val="32"/>
      <w:szCs w:val="32"/>
    </w:rPr>
  </w:style>
  <w:style w:type="paragraph" w:styleId="2">
    <w:name w:val="Heading 2"/>
    <w:basedOn w:val="Normal"/>
    <w:link w:val="20"/>
    <w:uiPriority w:val="9"/>
    <w:qFormat/>
    <w:rsid w:val="00457432"/>
    <w:pPr>
      <w:spacing w:lineRule="auto" w:line="240" w:beforeAutospacing="1" w:afterAutospacing="1"/>
      <w:outlineLvl w:val="1"/>
    </w:pPr>
    <w:rPr>
      <w:rFonts w:ascii="Times New Roman" w:hAnsi="Times New Roman" w:eastAsia="Times New Roman" w:cs="Times New Roman"/>
      <w:b/>
      <w:bCs/>
      <w:sz w:val="36"/>
      <w:szCs w:val="36"/>
      <w:lang w:eastAsia="ru-RU"/>
    </w:rPr>
  </w:style>
  <w:style w:type="paragraph" w:styleId="5">
    <w:name w:val="Heading 5"/>
    <w:basedOn w:val="Normal"/>
    <w:next w:val="Normal"/>
    <w:link w:val="50"/>
    <w:uiPriority w:val="9"/>
    <w:semiHidden/>
    <w:unhideWhenUsed/>
    <w:qFormat/>
    <w:rsid w:val="00ad4d22"/>
    <w:pPr>
      <w:keepNext w:val="true"/>
      <w:keepLines/>
      <w:spacing w:before="40" w:after="0"/>
      <w:outlineLvl w:val="4"/>
    </w:pPr>
    <w:rPr>
      <w:rFonts w:ascii="Cambria" w:hAnsi="Cambria" w:eastAsia="" w:cs="" w:asciiTheme="majorHAnsi" w:cstheme="majorBidi" w:eastAsiaTheme="majorEastAsia" w:hAnsiTheme="majorHAnsi"/>
      <w:color w:val="365F91" w:themeColor="accent1" w:themeShade="bf"/>
    </w:rPr>
  </w:style>
  <w:style w:type="character" w:styleId="DefaultParagraphFont" w:default="1">
    <w:name w:val="Default Paragraph Font"/>
    <w:uiPriority w:val="1"/>
    <w:semiHidden/>
    <w:unhideWhenUsed/>
    <w:qFormat/>
    <w:rPr/>
  </w:style>
  <w:style w:type="character" w:styleId="Style11">
    <w:name w:val="Интернет-ссылка"/>
    <w:basedOn w:val="DefaultParagraphFont"/>
    <w:uiPriority w:val="99"/>
    <w:semiHidden/>
    <w:unhideWhenUsed/>
    <w:rsid w:val="003f6393"/>
    <w:rPr>
      <w:color w:val="0000FF"/>
      <w:u w:val="single"/>
    </w:rPr>
  </w:style>
  <w:style w:type="character" w:styleId="21" w:customStyle="1">
    <w:name w:val="Заголовок 2 Знак"/>
    <w:basedOn w:val="DefaultParagraphFont"/>
    <w:link w:val="2"/>
    <w:uiPriority w:val="9"/>
    <w:qFormat/>
    <w:rsid w:val="00457432"/>
    <w:rPr>
      <w:rFonts w:ascii="Times New Roman" w:hAnsi="Times New Roman" w:eastAsia="Times New Roman" w:cs="Times New Roman"/>
      <w:b/>
      <w:bCs/>
      <w:sz w:val="36"/>
      <w:szCs w:val="36"/>
      <w:lang w:eastAsia="ru-RU"/>
    </w:rPr>
  </w:style>
  <w:style w:type="character" w:styleId="Sectioninfo" w:customStyle="1">
    <w:name w:val="section__info"/>
    <w:basedOn w:val="DefaultParagraphFont"/>
    <w:qFormat/>
    <w:rsid w:val="00457432"/>
    <w:rPr/>
  </w:style>
  <w:style w:type="character" w:styleId="Sectiontitle" w:customStyle="1">
    <w:name w:val="section__title"/>
    <w:basedOn w:val="DefaultParagraphFont"/>
    <w:qFormat/>
    <w:rsid w:val="00457432"/>
    <w:rPr/>
  </w:style>
  <w:style w:type="character" w:styleId="Timezonename" w:customStyle="1">
    <w:name w:val="timezonename"/>
    <w:basedOn w:val="DefaultParagraphFont"/>
    <w:qFormat/>
    <w:rsid w:val="00457432"/>
    <w:rPr/>
  </w:style>
  <w:style w:type="character" w:styleId="Z" w:customStyle="1">
    <w:name w:val="z-Начало формы Знак"/>
    <w:basedOn w:val="DefaultParagraphFont"/>
    <w:link w:val="z-"/>
    <w:uiPriority w:val="99"/>
    <w:semiHidden/>
    <w:qFormat/>
    <w:rsid w:val="00457432"/>
    <w:rPr>
      <w:rFonts w:ascii="Arial" w:hAnsi="Arial" w:eastAsia="Times New Roman" w:cs="Arial"/>
      <w:vanish/>
      <w:sz w:val="16"/>
      <w:szCs w:val="16"/>
      <w:lang w:eastAsia="ru-RU"/>
    </w:rPr>
  </w:style>
  <w:style w:type="character" w:styleId="Z1" w:customStyle="1">
    <w:name w:val="z-Конец формы Знак"/>
    <w:basedOn w:val="DefaultParagraphFont"/>
    <w:link w:val="z-1"/>
    <w:uiPriority w:val="99"/>
    <w:semiHidden/>
    <w:qFormat/>
    <w:rsid w:val="00457432"/>
    <w:rPr>
      <w:rFonts w:ascii="Arial" w:hAnsi="Arial" w:eastAsia="Times New Roman" w:cs="Arial"/>
      <w:vanish/>
      <w:sz w:val="16"/>
      <w:szCs w:val="16"/>
      <w:lang w:eastAsia="ru-RU"/>
    </w:rPr>
  </w:style>
  <w:style w:type="character" w:styleId="11" w:customStyle="1">
    <w:name w:val="Заголовок 1 Знак"/>
    <w:basedOn w:val="DefaultParagraphFont"/>
    <w:link w:val="1"/>
    <w:uiPriority w:val="9"/>
    <w:qFormat/>
    <w:rsid w:val="0063166c"/>
    <w:rPr>
      <w:rFonts w:ascii="Cambria" w:hAnsi="Cambria" w:eastAsia="" w:cs="" w:asciiTheme="majorHAnsi" w:cstheme="majorBidi" w:eastAsiaTheme="majorEastAsia" w:hAnsiTheme="majorHAnsi"/>
      <w:color w:val="365F91" w:themeColor="accent1" w:themeShade="bf"/>
      <w:sz w:val="32"/>
      <w:szCs w:val="32"/>
    </w:rPr>
  </w:style>
  <w:style w:type="character" w:styleId="51" w:customStyle="1">
    <w:name w:val="Заголовок 5 Знак"/>
    <w:basedOn w:val="DefaultParagraphFont"/>
    <w:link w:val="5"/>
    <w:uiPriority w:val="9"/>
    <w:semiHidden/>
    <w:qFormat/>
    <w:rsid w:val="00ad4d22"/>
    <w:rPr>
      <w:rFonts w:ascii="Cambria" w:hAnsi="Cambria" w:eastAsia="" w:cs="" w:asciiTheme="majorHAnsi" w:cstheme="majorBidi" w:eastAsiaTheme="majorEastAsia" w:hAnsiTheme="majorHAnsi"/>
      <w:color w:val="365F91" w:themeColor="accent1" w:themeShade="bf"/>
    </w:rPr>
  </w:style>
  <w:style w:type="paragraph" w:styleId="Style12">
    <w:name w:val="Заголовок"/>
    <w:basedOn w:val="Normal"/>
    <w:next w:val="Style13"/>
    <w:qFormat/>
    <w:pPr>
      <w:keepNext w:val="true"/>
      <w:spacing w:before="240" w:after="120"/>
    </w:pPr>
    <w:rPr>
      <w:rFonts w:ascii="Liberation Sans" w:hAnsi="Liberation Sans" w:eastAsia="Microsoft YaHei" w:cs="Arial"/>
      <w:sz w:val="28"/>
      <w:szCs w:val="28"/>
    </w:rPr>
  </w:style>
  <w:style w:type="paragraph" w:styleId="Style13">
    <w:name w:val="Body Text"/>
    <w:basedOn w:val="Normal"/>
    <w:pPr>
      <w:spacing w:lineRule="auto" w:line="276" w:before="0" w:after="140"/>
    </w:pPr>
    <w:rPr/>
  </w:style>
  <w:style w:type="paragraph" w:styleId="Style14">
    <w:name w:val="List"/>
    <w:basedOn w:val="Style13"/>
    <w:pPr/>
    <w:rPr>
      <w:rFonts w:cs="Arial"/>
    </w:rPr>
  </w:style>
  <w:style w:type="paragraph" w:styleId="Style15">
    <w:name w:val="Caption"/>
    <w:basedOn w:val="Normal"/>
    <w:qFormat/>
    <w:pPr>
      <w:suppressLineNumbers/>
      <w:spacing w:before="120" w:after="120"/>
    </w:pPr>
    <w:rPr>
      <w:rFonts w:cs="Arial"/>
      <w:i/>
      <w:iCs/>
      <w:sz w:val="24"/>
      <w:szCs w:val="24"/>
    </w:rPr>
  </w:style>
  <w:style w:type="paragraph" w:styleId="Style16">
    <w:name w:val="Указатель"/>
    <w:basedOn w:val="Normal"/>
    <w:qFormat/>
    <w:pPr>
      <w:suppressLineNumbers/>
    </w:pPr>
    <w:rPr>
      <w:rFonts w:cs="Arial"/>
      <w:lang w:val="zxx" w:eastAsia="zxx" w:bidi="zxx"/>
    </w:rPr>
  </w:style>
  <w:style w:type="paragraph" w:styleId="ListParagraph">
    <w:name w:val="List Paragraph"/>
    <w:basedOn w:val="Normal"/>
    <w:uiPriority w:val="99"/>
    <w:qFormat/>
    <w:rsid w:val="003f6393"/>
    <w:pPr>
      <w:spacing w:before="0" w:after="200"/>
      <w:ind w:left="720" w:hanging="0"/>
      <w:contextualSpacing/>
    </w:pPr>
    <w:rPr/>
  </w:style>
  <w:style w:type="paragraph" w:styleId="S1" w:customStyle="1">
    <w:name w:val="s_1"/>
    <w:basedOn w:val="Normal"/>
    <w:qFormat/>
    <w:rsid w:val="003f6393"/>
    <w:pPr>
      <w:spacing w:lineRule="auto" w:line="240" w:beforeAutospacing="1" w:afterAutospacing="1"/>
    </w:pPr>
    <w:rPr>
      <w:rFonts w:ascii="Times New Roman" w:hAnsi="Times New Roman" w:eastAsia="Times New Roman" w:cs="Times New Roman"/>
      <w:sz w:val="24"/>
      <w:szCs w:val="24"/>
      <w:lang w:eastAsia="ru-RU"/>
    </w:rPr>
  </w:style>
  <w:style w:type="paragraph" w:styleId="HTMLTopofForm">
    <w:name w:val="HTML Top of Form"/>
    <w:basedOn w:val="Normal"/>
    <w:next w:val="Normal"/>
    <w:link w:val="z-0"/>
    <w:uiPriority w:val="99"/>
    <w:semiHidden/>
    <w:unhideWhenUsed/>
    <w:qFormat/>
    <w:rsid w:val="00457432"/>
    <w:pPr>
      <w:pBdr>
        <w:bottom w:val="single" w:sz="6" w:space="1" w:color="000000"/>
      </w:pBdr>
      <w:spacing w:lineRule="auto" w:line="240" w:before="0" w:after="0"/>
      <w:jc w:val="center"/>
    </w:pPr>
    <w:rPr>
      <w:rFonts w:ascii="Arial" w:hAnsi="Arial" w:eastAsia="Times New Roman" w:cs="Arial"/>
      <w:vanish/>
      <w:sz w:val="16"/>
      <w:szCs w:val="16"/>
      <w:lang w:eastAsia="ru-RU"/>
    </w:rPr>
  </w:style>
  <w:style w:type="paragraph" w:styleId="HTMLBottomofForm">
    <w:name w:val="HTML Bottom of Form"/>
    <w:basedOn w:val="Normal"/>
    <w:next w:val="Normal"/>
    <w:link w:val="z-2"/>
    <w:uiPriority w:val="99"/>
    <w:semiHidden/>
    <w:unhideWhenUsed/>
    <w:qFormat/>
    <w:rsid w:val="00457432"/>
    <w:pPr>
      <w:pBdr>
        <w:top w:val="single" w:sz="6" w:space="1" w:color="000000"/>
      </w:pBdr>
      <w:spacing w:lineRule="auto" w:line="240" w:before="0" w:after="0"/>
      <w:jc w:val="center"/>
    </w:pPr>
    <w:rPr>
      <w:rFonts w:ascii="Arial" w:hAnsi="Arial" w:eastAsia="Times New Roman" w:cs="Arial"/>
      <w:vanish/>
      <w:sz w:val="16"/>
      <w:szCs w:val="16"/>
      <w:lang w:eastAsia="ru-RU"/>
    </w:rPr>
  </w:style>
  <w:style w:type="paragraph" w:styleId="S9" w:customStyle="1">
    <w:name w:val="s_9"/>
    <w:basedOn w:val="Normal"/>
    <w:qFormat/>
    <w:rsid w:val="00736ef7"/>
    <w:pPr>
      <w:spacing w:lineRule="auto" w:line="240" w:beforeAutospacing="1" w:afterAutospacing="1"/>
    </w:pPr>
    <w:rPr>
      <w:rFonts w:ascii="Times New Roman" w:hAnsi="Times New Roman" w:eastAsia="Times New Roman" w:cs="Times New Roman"/>
      <w:sz w:val="24"/>
      <w:szCs w:val="24"/>
      <w:lang w:eastAsia="ru-RU"/>
    </w:rPr>
  </w:style>
  <w:style w:type="paragraph" w:styleId="NormalWeb">
    <w:name w:val="Normal (Web)"/>
    <w:basedOn w:val="Normal"/>
    <w:uiPriority w:val="99"/>
    <w:semiHidden/>
    <w:unhideWhenUsed/>
    <w:qFormat/>
    <w:rsid w:val="00ad4d22"/>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3ED3C1-40EC-4070-BC7D-DCDC0D144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1504</TotalTime>
  <Application>LibreOffice/7.2.5.2$Windows_X86_64 LibreOffice_project/499f9727c189e6ef3471021d6132d4c694f357e5</Application>
  <AppVersion>15.0000</AppVersion>
  <Pages>4</Pages>
  <Words>1185</Words>
  <Characters>6758</Characters>
  <CharactersWithSpaces>7928</CharactersWithSpaces>
  <Paragraphs>15</Paragraphs>
  <Company>Computer</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2023-07-02T08:17:00Z</dcterms:created>
  <dc:creator>User</dc:creator>
  <dc:description/>
  <dc:language>ru-RU</dc:language>
  <cp:lastModifiedBy/>
  <dcterms:modified xsi:type="dcterms:W3CDTF">2026-05-13T10:04:25Z</dcterms:modified>
  <cp:revision>1132</cp:revision>
  <dc:subject/>
  <dc:title/>
</cp:coreProperties>
</file>

<file path=docProps/custom.xml><?xml version="1.0" encoding="utf-8"?>
<Properties xmlns="http://schemas.openxmlformats.org/officeDocument/2006/custom-properties" xmlns:vt="http://schemas.openxmlformats.org/officeDocument/2006/docPropsVTypes"/>
</file>