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</w:t>
      </w:r>
      <w:r>
        <w:rPr>
          <w:rFonts w:cs="Times New Roman" w:ascii="Times New Roman" w:hAnsi="Times New Roman"/>
          <w:sz w:val="24"/>
          <w:szCs w:val="24"/>
          <w:lang w:val="en-US"/>
        </w:rPr>
        <w:t>105-1901</w:t>
      </w:r>
      <w:r>
        <w:rPr>
          <w:rFonts w:cs="Times New Roman" w:ascii="Times New Roman" w:hAnsi="Times New Roman"/>
          <w:sz w:val="24"/>
          <w:szCs w:val="24"/>
        </w:rPr>
        <w:t>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 xml:space="preserve">07 </w:t>
      </w:r>
      <w:r>
        <w:rPr>
          <w:rFonts w:eastAsia="Times New Roman" w:cs="Times New Roman" w:ascii="Times New Roman" w:hAnsi="Times New Roman"/>
          <w:sz w:val="24"/>
          <w:szCs w:val="24"/>
        </w:rPr>
        <w:t>мая 2026 года            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рассмотрев жалобу ООО Юнион Трейд» (далее Заявитель) на действия  уполномоченного учреждения (комиссии) – ГКУ КК ДГЗ, заказчика - ГБУЗ «НИИ ККБ №1 им. проф. С.В. Очаповского» МЗ КК при проведении электронного аукциона: «Поставка медицинских изделий (дыхательный контур)» (извещение № 0818500000826002543)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Заявитель указывает, что заявка отклонена в 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Заказчиком, уполномоченным учреждением предоставлены письменные пояснения, согласно которым рассмотрение заявок осуществлялось в соответствии с положениями Закона о контрактной системе.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Уполномоченным учреждением – ГКУ КК ДГЗ после проверки заявки заказчика на соответствие требованиям законодательства о контрактной системе </w:t>
      </w:r>
      <w:r>
        <w:rPr>
          <w:rFonts w:cs="Times New Roman" w:ascii="Times New Roman" w:hAnsi="Times New Roman"/>
          <w:sz w:val="24"/>
          <w:szCs w:val="24"/>
        </w:rPr>
        <w:t xml:space="preserve">в ЕИС 17.04.2026 размещено извещение о проведении </w:t>
      </w:r>
      <w:r>
        <w:rPr>
          <w:rFonts w:eastAsia="Times New Roman" w:cs="Times New Roman" w:ascii="Times New Roman" w:hAnsi="Times New Roman"/>
          <w:sz w:val="24"/>
          <w:szCs w:val="24"/>
        </w:rPr>
        <w:t>электронного аукциона: «Поставка медицинских изделий (дыхательный контур)» (извещение № 0818500000826002543) с НМЦК 4 673 000,00 рублей. Заказчик - ГБУЗ «НИИ ККБ №1 им. проф. С.В. Очаповского» МЗ КК.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Согласно протоколу подведения итогов определения поставщика (подрядчика, исполнителя) от 30.04.2026 заявка заявителя отклонена в соответствии с п.8) ч.12 ст.48 Закона о контрактной системе в связи с выявлением недостоверной информации по поз.1.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Описании объекта закупки заказчиком установлены требования к закупаемому товару с указанием характеристик. В частности, в поз.1 требуется дыхательный контур совместимый с увлажнителем с интегрированным генератором потока 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Airvo</w:t>
      </w:r>
      <w:r>
        <w:rPr>
          <w:rFonts w:eastAsia="Times New Roman" w:cs="Times New Roman" w:ascii="Times New Roman" w:hAnsi="Times New Roman"/>
          <w:sz w:val="24"/>
          <w:szCs w:val="24"/>
        </w:rPr>
        <w:t>2.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соответствии с п.1.7 документа Требования к содержанию, составу заявки участник закупки предоставляет в составе заявки один из предусмотренных документов: выписку из государственного реестра медицинских изделий и организаций; регистрационное удостоверение; документ, содержащий сведения о реквизитах регистрационного удостоверения.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Согласно письму Росздравнадзора от 16.04.2025 №04-22671/25 в соответствии с ч.3 ст.38 Федерального закона от 21.11.2011 №323-ФЗ «Об основах охраны здоровья граждан в Российской Федерации» применение, эксплуатация медицинского изделия осуществляются в соответствии с разработанной производителем (изготовителем) медицинского изделия технической и (или) эксплуатационной документацией.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соответствии с п.11 постановления Правительства РФ от 01.04.2022 3552 совместное применение медицинского изделия с расходным материалом осуществляется с учетом особенностей, установленных в эксплуатационной документации производителя (изготовителя) на расходный материал. 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>Совместимость неоригинальных принадлежностей и расходных материалов с медицинскими изделиями, в случае отсутствия указания на такую совместимость в технической эксплуатационной документации производителя (изготовителя) на медицинское изделие, определяется в ходе экспертизы при процедуре государственной регистрации медицинских изделий.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ФАС России (совещание по ВКС) указано, что п.11 Постановления №552 распространяется на все медицинские изделия и не имеет отношения к дефектурному перечню.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Также Росздравнадзор в письме от 28.03.2025 №01И-248/25 сообщил, что письма от 05.02.2016 №09-С-571-1414, от 22.06.2017 №04-31270/17 в связи с изменением законодательства могут использоваться только в части, не противоречащей законодательству РФ, действующему в настоящее время.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письме Росздравнадзора от 20.05.2022 №10-30847/22 в случае, если расходные материалы (аналоги), зарегистрированные в установленном порядке, успешно прошли исследования (испытания) с медицинским изделием, что подтверждается информацией, содержащейся в регистрационном досье данных расходных материалов (аналогов), то потребитель вправе использовать их наряду с оригинальными расходными материалами (аналогами) независимо от того, есть ли разрешение производителя основного медицинского изделия.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соответствии с позицией ФАС России (письмо от 26.05.2025 №ГР/48883/25) актуальные сведения в отношении медицинских изделий, разрешенных к обращению на территории РФ, отражены в инструкциях по применению медицинских изделий, содержащихся в реестре медицинских изделий и организаций (индивидуальных предпринимателей), осуществляющих производство и изготовление медицинских изделий Росздравнадзора. При необходимости сведения, представленные в заявках участников, следует сверять с приведенными в реестре сведениями. В случае отсутствия отдельных характеристик закупаемого медицинского изделия в эксплуатационной документации, размещенной на сайте Росздравнадзора, подтверждением соответствия таких характеристик описанию объекта закупки могут являться инструкции и документы на медицинское изделие, полученные любым иным способом, актуальность и достоверность которых могут быть перепроверены, в том числе при исполнении контрольных функций.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Комиссией установлено, что в заявке Заявитель предлагает к поставке товар – Дыхательный контур с подогревом 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Airt</w:t>
      </w:r>
      <w:r>
        <w:rPr>
          <w:rFonts w:eastAsia="Times New Roman" w:cs="Times New Roman" w:ascii="Times New Roman" w:hAnsi="Times New Roman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B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4, нестерильный РЗН 2023/20521. В информации, размещенной на сайте Росздравнадзора в указанному регистрационному удостоверению, отсутствует информация о совместимости медицинского изделия с генератором потока 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Airvo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2. 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соответствии с информацией, размещенной на сайте Росздравнадзора (РЗН 2015/3522 от 15.2.2022), в руководстве по эксплуатации на Увлажнитель с интегрированным генератором потока 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Airv</w:t>
      </w:r>
      <w:r>
        <w:rPr>
          <w:rFonts w:eastAsia="Times New Roman" w:cs="Times New Roman" w:ascii="Times New Roman" w:hAnsi="Times New Roman"/>
          <w:sz w:val="24"/>
          <w:szCs w:val="24"/>
        </w:rPr>
        <w:t>о2 с принадлежностями запрещается использовать какие-либо интерфейсы, не указанные в данном документе.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Также в письме от 05.05.2026 официального представителя производителя ООО «Фишер энд Пейкел Хелскэр» указано, что увлажнитель с интегрированным генератором потока 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Airvo</w:t>
      </w:r>
      <w:r>
        <w:rPr>
          <w:rFonts w:eastAsia="Times New Roman" w:cs="Times New Roman" w:ascii="Times New Roman" w:hAnsi="Times New Roman"/>
          <w:sz w:val="24"/>
          <w:szCs w:val="24"/>
        </w:rPr>
        <w:t>2 не является совместимым с медицинским изделиями и принадлежностями, указанными в следующих регистрационных удостоверениях: РЗН 2023/20521.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Заявитель указывает, что совместимость подтверждается испытаниями АО «Независимый институт испытаний медицинской техники». Однако информация о совместимости с увлажнителем с интегрированным генератором потока 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Airvo</w:t>
      </w:r>
      <w:r>
        <w:rPr>
          <w:rFonts w:eastAsia="Times New Roman" w:cs="Times New Roman" w:ascii="Times New Roman" w:hAnsi="Times New Roman"/>
          <w:sz w:val="24"/>
          <w:szCs w:val="24"/>
        </w:rPr>
        <w:t>2 не отражена в регистрационном досье на сайте Росздравнадзора.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связи с установленными обстоятельствами, действия комиссии уполномоченного учреждения при рассмотрении заявок не противоречат Закону о контрактной системе.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Признать жалобу  ООО «ЮнионТрейд» необоснованной.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900" w:hanging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bidi w:val="0"/>
      <w:spacing w:lineRule="auto" w:line="240" w:before="0" w:after="0"/>
      <w:jc w:val="left"/>
    </w:pPr>
    <w:rPr>
      <w:rFonts w:ascii="Arial" w:hAnsi="Arial" w:cs="Arial" w:eastAsia="Calibri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1B60D-B793-45BA-BE1A-313A3120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2492</TotalTime>
  <Application>LibreOffice/7.2.5.2$Windows_X86_64 LibreOffice_project/499f9727c189e6ef3471021d6132d4c694f357e5</Application>
  <AppVersion>15.0000</AppVersion>
  <Pages>4</Pages>
  <Words>1321</Words>
  <Characters>7536</Characters>
  <CharactersWithSpaces>8840</CharactersWithSpaces>
  <Paragraphs>17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2026-05-13T10:02:39Z</dcterms:modified>
  <cp:revision>1848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