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B7B" w:rsidRDefault="005A7587">
      <w:pPr>
        <w:spacing w:after="266"/>
        <w:ind w:left="3020" w:right="2952" w:hanging="10"/>
        <w:jc w:val="center"/>
      </w:pPr>
      <w:r>
        <w:rPr>
          <w:b/>
        </w:rPr>
        <w:t xml:space="preserve">Р Е Ш Е Н И Е № 064/06/105-617/2026 о признании жалобы </w:t>
      </w:r>
      <w:r>
        <w:rPr>
          <w:b/>
        </w:rPr>
        <w:t>обоснованной</w:t>
      </w:r>
    </w:p>
    <w:p w:rsidR="00962B7B" w:rsidRDefault="005A7587">
      <w:pPr>
        <w:tabs>
          <w:tab w:val="center" w:pos="1277"/>
          <w:tab w:val="center" w:pos="9002"/>
        </w:tabs>
        <w:spacing w:after="25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12 мая 2026 года                                                                                            </w:t>
      </w:r>
      <w:r>
        <w:tab/>
        <w:t xml:space="preserve">         г. Саратов</w:t>
      </w:r>
    </w:p>
    <w:p w:rsidR="00962B7B" w:rsidRDefault="005A7587">
      <w:pPr>
        <w:ind w:left="0" w:right="2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</w:t>
      </w:r>
    </w:p>
    <w:p w:rsidR="00962B7B" w:rsidRDefault="005A7587" w:rsidP="005A7587">
      <w:pPr>
        <w:spacing w:after="72" w:line="265" w:lineRule="auto"/>
        <w:ind w:left="10" w:hanging="10"/>
      </w:pPr>
      <w:r>
        <w:t>рассмотрев жалобу ООО «</w:t>
      </w:r>
      <w:proofErr w:type="spellStart"/>
      <w:r>
        <w:t>Бирит</w:t>
      </w:r>
      <w:proofErr w:type="spellEnd"/>
      <w:r>
        <w:t xml:space="preserve">» на действия Департамента Гагаринского </w:t>
      </w:r>
      <w:r>
        <w:t>Административного района МО «Город Саратов» при провед</w:t>
      </w:r>
      <w:r>
        <w:t>ении электронного аукциона №</w:t>
      </w:r>
      <w:r>
        <w:t>0160600005026000064 «Поставка и установка причального понтонного комплекса»,</w:t>
      </w:r>
    </w:p>
    <w:p w:rsidR="00962B7B" w:rsidRDefault="005A7587">
      <w:pPr>
        <w:spacing w:after="308"/>
        <w:ind w:left="3020" w:right="2301" w:hanging="10"/>
        <w:jc w:val="center"/>
      </w:pPr>
      <w:r>
        <w:rPr>
          <w:b/>
        </w:rPr>
        <w:t>УСТАНОВИЛА:</w:t>
      </w:r>
    </w:p>
    <w:p w:rsidR="00962B7B" w:rsidRDefault="005A7587">
      <w:pPr>
        <w:ind w:left="0" w:right="2"/>
      </w:pPr>
      <w:r>
        <w:t>03.05.2026 в Саратовское УФАС России поступила жалоба ООО «</w:t>
      </w:r>
      <w:proofErr w:type="spellStart"/>
      <w:r>
        <w:t>Бирит</w:t>
      </w:r>
      <w:proofErr w:type="spellEnd"/>
      <w:r>
        <w:t>» на действия Департамента Гагаринского Административного района МО «Город Саратов» при проведении электронного аукциона № 0160600005026000064 «Поставка и установка причального понтонного комп</w:t>
      </w:r>
      <w:r>
        <w:t>лекса» (далее - Аукцион).</w:t>
      </w:r>
    </w:p>
    <w:p w:rsidR="00962B7B" w:rsidRDefault="005A7587">
      <w:pPr>
        <w:ind w:left="0" w:right="2"/>
      </w:pPr>
      <w:r>
        <w:t>По мнению Заявителя его права и законные интересы нарушены действиями Заказчика, не заключившего с ним контракт.</w:t>
      </w:r>
    </w:p>
    <w:p w:rsidR="00962B7B" w:rsidRDefault="005A7587">
      <w:pPr>
        <w:ind w:left="709" w:right="2" w:firstLine="0"/>
      </w:pPr>
      <w:r>
        <w:t>В ходе рассмотрения представители Заказчика просили признать жалобу необоснованной.</w:t>
      </w:r>
    </w:p>
    <w:p w:rsidR="00962B7B" w:rsidRDefault="005A7587">
      <w:pPr>
        <w:spacing w:line="238" w:lineRule="auto"/>
        <w:ind w:left="-15" w:firstLine="709"/>
        <w:jc w:val="left"/>
      </w:pPr>
      <w:r>
        <w:rPr>
          <w:i/>
        </w:rPr>
        <w:t xml:space="preserve">Изучив представленные сведения и </w:t>
      </w:r>
      <w:r>
        <w:rPr>
          <w:i/>
        </w:rPr>
        <w:t xml:space="preserve">документы, проведя внеплановую проверку, Комиссия пришла к следующим выводам. </w:t>
      </w:r>
    </w:p>
    <w:p w:rsidR="00962B7B" w:rsidRDefault="005A7587">
      <w:pPr>
        <w:ind w:left="709" w:right="2" w:firstLine="0"/>
      </w:pPr>
      <w:r>
        <w:t>Объектом закупки является «Выполнение работ по содержанию автомобильных дорог».</w:t>
      </w:r>
    </w:p>
    <w:p w:rsidR="00962B7B" w:rsidRDefault="005A7587">
      <w:pPr>
        <w:ind w:left="709" w:right="2" w:firstLine="0"/>
      </w:pPr>
      <w:r>
        <w:t>В соответствии с Извещением, протоколом, составленным в ходе проведения Конкурса:</w:t>
      </w:r>
    </w:p>
    <w:p w:rsidR="00962B7B" w:rsidRDefault="005A7587">
      <w:pPr>
        <w:numPr>
          <w:ilvl w:val="0"/>
          <w:numId w:val="2"/>
        </w:numPr>
        <w:ind w:right="2" w:hanging="709"/>
      </w:pPr>
      <w:r>
        <w:t>Извещение разме</w:t>
      </w:r>
      <w:r>
        <w:t>щено в ЕИС – 13.04.2026;</w:t>
      </w:r>
    </w:p>
    <w:p w:rsidR="00962B7B" w:rsidRDefault="005A7587">
      <w:pPr>
        <w:numPr>
          <w:ilvl w:val="0"/>
          <w:numId w:val="2"/>
        </w:numPr>
        <w:ind w:right="2" w:hanging="709"/>
      </w:pPr>
      <w:r>
        <w:t>способ определения поставщика (подрядчика, исполнителя) – электронный аукцион;</w:t>
      </w:r>
    </w:p>
    <w:p w:rsidR="00962B7B" w:rsidRDefault="005A7587">
      <w:pPr>
        <w:numPr>
          <w:ilvl w:val="0"/>
          <w:numId w:val="2"/>
        </w:numPr>
        <w:ind w:right="2" w:hanging="709"/>
      </w:pPr>
      <w:r>
        <w:t>начальная цена контракта - 14 963 000,00 руб.;</w:t>
      </w:r>
    </w:p>
    <w:p w:rsidR="00962B7B" w:rsidRDefault="005A7587">
      <w:pPr>
        <w:numPr>
          <w:ilvl w:val="0"/>
          <w:numId w:val="2"/>
        </w:numPr>
        <w:ind w:right="2" w:hanging="709"/>
      </w:pPr>
      <w:r>
        <w:t>дата окончания срока подачи заявок на участие в аукционе - 17.04.2026 10:00.</w:t>
      </w:r>
    </w:p>
    <w:p w:rsidR="00962B7B" w:rsidRDefault="005A7587">
      <w:pPr>
        <w:ind w:left="709" w:right="2" w:firstLine="0"/>
      </w:pPr>
      <w:r>
        <w:t>Поступило 3 заявки, признаны</w:t>
      </w:r>
      <w:r>
        <w:t xml:space="preserve"> соответствующими извещению -3.</w:t>
      </w:r>
    </w:p>
    <w:p w:rsidR="00962B7B" w:rsidRDefault="005A7587">
      <w:pPr>
        <w:ind w:left="0" w:right="2"/>
      </w:pPr>
      <w: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 с идентификационным номером заявки – 200, заявка на участие в закупке которого с</w:t>
      </w:r>
      <w:r>
        <w:t>оответствует требованиям, установленным в извещении об осуществлении закупки, с предложением о цене контракта /суммы цен единиц товара, работы, услуги 11 237 213,00 руб. (снижение 24,90 %).</w:t>
      </w:r>
    </w:p>
    <w:p w:rsidR="00962B7B" w:rsidRDefault="005A7587">
      <w:pPr>
        <w:ind w:left="0" w:right="2"/>
      </w:pPr>
      <w:r>
        <w:t>В соответствии с частью 1 статьи 51 Закона о контрактной системе п</w:t>
      </w:r>
      <w:r>
        <w:t>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</w:t>
      </w:r>
      <w:r>
        <w:t xml:space="preserve">оторым заключается контракт) не ранее чем через десять дней (если настоящим Федеральным законом не установлено </w:t>
      </w:r>
      <w:r>
        <w:lastRenderedPageBreak/>
        <w:t xml:space="preserve">иное) с даты размещения в единой информационной системе протокола подведения итогов определения поставщика (подрядчика, исполнителя), протокола, </w:t>
      </w:r>
      <w:r>
        <w:t>предусмотренного подпунктом «а»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</w:t>
      </w:r>
      <w:r>
        <w:t>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962B7B" w:rsidRDefault="005A7587">
      <w:pPr>
        <w:ind w:left="0" w:right="2"/>
      </w:pPr>
      <w:r>
        <w:t>Согласно пун</w:t>
      </w:r>
      <w:r>
        <w:t>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настоящей статьи:</w:t>
      </w:r>
    </w:p>
    <w:p w:rsidR="00962B7B" w:rsidRDefault="005A7587">
      <w:pPr>
        <w:ind w:left="0" w:right="2"/>
      </w:pPr>
      <w:r>
        <w:t>1) заказчик формирует с использованием единой информационной с</w:t>
      </w:r>
      <w:r>
        <w:t>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настоящего Федера</w:t>
      </w:r>
      <w:r>
        <w:t>льного закона, который должен содержать:</w:t>
      </w:r>
    </w:p>
    <w:p w:rsidR="00962B7B" w:rsidRDefault="005A7587">
      <w:pPr>
        <w:ind w:left="709" w:right="2" w:firstLine="0"/>
      </w:pPr>
      <w:r>
        <w:t>а) информацию, предусмотренную частью 6 статьи 30, пунктами 1, 2, 5 - 8, 10, 17, 18 и 20</w:t>
      </w:r>
    </w:p>
    <w:p w:rsidR="00962B7B" w:rsidRDefault="005A7587">
      <w:pPr>
        <w:ind w:left="0" w:right="2" w:firstLine="0"/>
      </w:pPr>
      <w:r>
        <w:t>части 1 статьи 42 настоящего Федерального закона;</w:t>
      </w:r>
    </w:p>
    <w:p w:rsidR="00962B7B" w:rsidRDefault="005A7587">
      <w:pPr>
        <w:ind w:left="0" w:right="2"/>
      </w:pPr>
      <w:r>
        <w:t>б) цену контракта, соответствующую цене контракта, предложенной в соответств</w:t>
      </w:r>
      <w:r>
        <w:t>ии с настоящим Федеральным законом участником закупки, с которым заключается контракт, с учетом положений нормативных правовых актов, принятых в соответствии со статьей 14 настоящего Федерального закона, положений статей 28 и 29 настоящего Федерального зак</w:t>
      </w:r>
      <w:r>
        <w:t>она, цену каждого отдельного этапа исполнения контракта, определенную в соответствии с частью 2 статьи 34 настоящего Федерального закона (если проектом контракта предусмотрены отдельные этапы его исполнения). Предусмотренная настоящим подпунктом информация</w:t>
      </w:r>
      <w:r>
        <w:t xml:space="preserve"> включается в проект контракта, за исключением случаев включения в него информации, предусмотренной подпунктами</w:t>
      </w:r>
    </w:p>
    <w:p w:rsidR="00962B7B" w:rsidRDefault="005A7587">
      <w:pPr>
        <w:ind w:left="0" w:right="2" w:firstLine="0"/>
      </w:pPr>
      <w:r>
        <w:t>«в» или «г» настоящего пункта;</w:t>
      </w:r>
    </w:p>
    <w:p w:rsidR="00962B7B" w:rsidRDefault="005A7587">
      <w:pPr>
        <w:ind w:left="0" w:right="2"/>
      </w:pPr>
      <w:r>
        <w:t>в) 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</w:t>
      </w:r>
      <w:r>
        <w:t xml:space="preserve"> статьей 14 настоящего Федерального закона, положений статей 28 и 29 настоящего Федерального закона (в случае, предусмотренном частью 24 статьи 22 настоящего Федерального закона). При этом цена единицы товара, работы, услуги определяется путем уменьшения н</w:t>
      </w:r>
      <w:r>
        <w:t>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 w:rsidR="00962B7B" w:rsidRDefault="005A7587">
      <w:pPr>
        <w:ind w:left="0" w:right="2"/>
      </w:pPr>
      <w:r>
        <w:t>г) размер платы, подлежащей внесению в</w:t>
      </w:r>
      <w:r>
        <w:t xml:space="preserve"> соответствии с настоящим Федеральным законом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</w:t>
      </w:r>
      <w:r>
        <w:t xml:space="preserve"> (в случаях, предусмотренных настоящим Федеральным законом);</w:t>
      </w:r>
    </w:p>
    <w:p w:rsidR="00962B7B" w:rsidRDefault="005A7587">
      <w:pPr>
        <w:ind w:left="0" w:right="2"/>
      </w:pPr>
      <w:r>
        <w:t xml:space="preserve">д) информацию, предусмотренную подпунктами «а», «б», «г», «е» и «п» пункта 1, подпунктами «а» и «б» пункта 2 части 1 статьи 43 настоящего Федерального закона, а также информацию, предусмотренную подпунктом «г» пункта 2 указанной части, в случае проведения </w:t>
      </w:r>
      <w:r>
        <w:t>электронного конкурса. При этом информация, предусмотренная подпунктами «а», «б», «г» и «е» пункта 1 части 1 статьи 43 настоящего Федерального закона, указывается с использованием единой информационной системы по состоянию на дату и время формирования прое</w:t>
      </w:r>
      <w:r>
        <w:t>кта контракта;</w:t>
      </w:r>
    </w:p>
    <w:p w:rsidR="00962B7B" w:rsidRDefault="005A7587">
      <w:pPr>
        <w:ind w:left="709" w:right="2" w:firstLine="0"/>
      </w:pPr>
      <w:r>
        <w:t>е) иные документы (при наличии).</w:t>
      </w:r>
    </w:p>
    <w:p w:rsidR="00962B7B" w:rsidRDefault="005A7587">
      <w:pPr>
        <w:ind w:left="0" w:right="2"/>
      </w:pPr>
      <w:r>
        <w:t>В соответствии с частью 9 статьи 31 Закона о контрактной системе отстранение участника закупки от участия в определении поставщика (подрядчика, исполнителя) или отказ от заключения контракта с победителем опр</w:t>
      </w:r>
      <w:r>
        <w:t xml:space="preserve">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</w:t>
      </w:r>
      <w:r>
        <w:t>(при наличии таких требований) настоящей статьи, или предоставил недостоверную информацию в отношении своего соответствия указанным требованиям.</w:t>
      </w:r>
    </w:p>
    <w:p w:rsidR="00962B7B" w:rsidRDefault="005A7587">
      <w:pPr>
        <w:ind w:left="0" w:right="2"/>
      </w:pPr>
      <w:r>
        <w:t xml:space="preserve">В соответствии с протоколом подведения итогов определения поставщика (подрядчика, исполнителя) от 20.04.2026 № </w:t>
      </w:r>
      <w:r>
        <w:t>ИЭА1 (далее - Итоговый протокол) заявка Победителя признана соответствующей требованиям извещения о проведении Аукциона.</w:t>
      </w:r>
    </w:p>
    <w:p w:rsidR="00962B7B" w:rsidRDefault="005A7587">
      <w:pPr>
        <w:ind w:left="0" w:right="2"/>
      </w:pPr>
      <w:r>
        <w:t xml:space="preserve">Вместе с тем, 04.05.2026 Заказчиком принято решение об отказе от заключения муниципального контракта с Победителем (Протокол об отказе </w:t>
      </w:r>
      <w:r>
        <w:t>от заключения контракта от 04.05.2026 № ПОК20_1 (далее — Протокол)) по указанному в протоколе основанию: «Участник закупки предоставил недостоверную информацию о своем соответствии требованиям либо недостоверную информацию и (или) документы, содержащиеся в</w:t>
      </w:r>
      <w:r>
        <w:t xml:space="preserve"> заявке на участие в закупке, а именно недостоверные сведения по налоговым начислениям».</w:t>
      </w:r>
    </w:p>
    <w:p w:rsidR="00962B7B" w:rsidRDefault="005A7587">
      <w:pPr>
        <w:ind w:left="0" w:right="2"/>
      </w:pPr>
      <w:r>
        <w:t xml:space="preserve">Согласно ч. 1 ст. 31 Закона о контрактной системе при применении конкурентных способов, при осуществлении закупки у единственного поставщика (подрядчика, исполнителя) </w:t>
      </w:r>
      <w:r>
        <w:t>в случаях, предусмотренных пунктами 4, 5, 18, 30, 42, 49, 54 и 59 части 1 статьи 93 настоящего Федерального закона, заказчик устанавливает следующие единые требования к участникам закупки, в частности отсутствие у участника закупки недоимки по налогам, сбо</w:t>
      </w:r>
      <w:r>
        <w:t xml:space="preserve">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</w:t>
      </w:r>
      <w:r>
        <w:t>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</w:t>
      </w:r>
      <w:r>
        <w:t>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</w:t>
      </w:r>
      <w:r>
        <w:t xml:space="preserve">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</w:t>
      </w:r>
      <w:r>
        <w:t xml:space="preserve">заявки на участие в определении поставщика (подрядчика, исполнителя) не принято. </w:t>
      </w:r>
    </w:p>
    <w:p w:rsidR="00962B7B" w:rsidRDefault="005A7587">
      <w:pPr>
        <w:ind w:left="0" w:right="2"/>
      </w:pPr>
      <w:r>
        <w:t>На заседании представлены скриншоты информации, на основании которой принято решение. Согласно общедоступным сведениям у ООО «</w:t>
      </w:r>
      <w:proofErr w:type="spellStart"/>
      <w:r>
        <w:t>Бирит</w:t>
      </w:r>
      <w:proofErr w:type="spellEnd"/>
      <w:r>
        <w:t>» отражена выручка более 15 млн руб. При эт</w:t>
      </w:r>
      <w:r>
        <w:t xml:space="preserve">ом представленные Заказчиком сведения не подтверждают наличие у участника закупки недоимки по налогам, сборам, задолженности по иным обязательным платежам в бюджеты бюджетной системы Российской Федерации. </w:t>
      </w:r>
    </w:p>
    <w:p w:rsidR="00962B7B" w:rsidRDefault="005A7587">
      <w:pPr>
        <w:ind w:left="0" w:right="2"/>
      </w:pPr>
      <w:r>
        <w:t xml:space="preserve">Налоговые начисления не относятся к требованиям к </w:t>
      </w:r>
      <w:r>
        <w:t>участникам закупки, соответственно, их наличие или отсутствие не могут служить основанием для отклонения заявки.</w:t>
      </w:r>
    </w:p>
    <w:p w:rsidR="00962B7B" w:rsidRDefault="005A7587">
      <w:pPr>
        <w:ind w:left="0" w:right="2"/>
      </w:pPr>
      <w:r>
        <w:t xml:space="preserve">На заседании Комиссии представителем Заказчика не представлены документы и сведения, подтверждающие наличие недостоверной информации в составе </w:t>
      </w:r>
      <w:r>
        <w:t>заявки Победителя.</w:t>
      </w:r>
    </w:p>
    <w:p w:rsidR="00962B7B" w:rsidRDefault="005A7587">
      <w:pPr>
        <w:ind w:left="0" w:right="2"/>
      </w:pPr>
      <w:r>
        <w:t>Изучив документы и сведения, Комиссия приходит к выводу, что действия Заказчика в части принятия решения об отказе от заключения контракта с Победителем противоречит требованиям Закона о контрактной системе.</w:t>
      </w:r>
    </w:p>
    <w:p w:rsidR="00962B7B" w:rsidRDefault="005A7587">
      <w:pPr>
        <w:ind w:left="0" w:right="2"/>
      </w:pPr>
      <w:r>
        <w:t>С учетом изложенного Комиссия</w:t>
      </w:r>
      <w:r>
        <w:t xml:space="preserve"> приходит к выводу, что действия Заказчика, неправомерно отказавшегося от заключения контракта с Победителем нарушают положения части 9 статьи 31 Закона о контрактной системе.</w:t>
      </w:r>
    </w:p>
    <w:p w:rsidR="00962B7B" w:rsidRDefault="005A7587">
      <w:pPr>
        <w:ind w:left="709" w:right="2" w:firstLine="0"/>
      </w:pPr>
      <w:r>
        <w:t>Довод жалобы Заявителя является обоснованным.</w:t>
      </w:r>
    </w:p>
    <w:p w:rsidR="00962B7B" w:rsidRDefault="005A7587" w:rsidP="005A7587">
      <w:pPr>
        <w:spacing w:line="265" w:lineRule="auto"/>
        <w:ind w:left="10" w:hanging="10"/>
      </w:pPr>
      <w:r>
        <w:t xml:space="preserve">            </w:t>
      </w:r>
      <w:r>
        <w:t>В ходе проведения внеплановой пров</w:t>
      </w:r>
      <w:r>
        <w:t>ерки Комиссией установлено следующее.</w:t>
      </w:r>
    </w:p>
    <w:p w:rsidR="00962B7B" w:rsidRDefault="005A7587">
      <w:pPr>
        <w:ind w:left="0" w:right="2"/>
      </w:pPr>
      <w:r>
        <w:t>В соответствии с п. 1 ч. 2 ст. 42 Закона о закупках извещение об осуществлении закупки, если иное не предусмотрено Закона о закупках, должно содержать описание объекта закупки в соответствии со ст. 33 Закона о закупках</w:t>
      </w:r>
      <w:r>
        <w:t>.</w:t>
      </w:r>
    </w:p>
    <w:p w:rsidR="00962B7B" w:rsidRDefault="005A7587">
      <w:pPr>
        <w:ind w:left="0" w:right="2"/>
      </w:pPr>
      <w:r>
        <w:t>В силу с п. 1, 2 ч. 1 ст. 33 Закона о закупках заказчик при описании в документации о закупке объекта закупки должен руководствоваться следующими правилами:</w:t>
      </w:r>
    </w:p>
    <w:p w:rsidR="00962B7B" w:rsidRDefault="005A7587">
      <w:pPr>
        <w:ind w:left="0" w:right="2"/>
      </w:pPr>
      <w:r>
        <w:t>1) в описании объекта закупки указываются функциональные, технические и качественные характеристи</w:t>
      </w:r>
      <w:r>
        <w:t>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</w:t>
      </w:r>
      <w:r>
        <w:t>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</w:t>
      </w:r>
      <w:r>
        <w:t>а закупки указания на товарный знак в следующих случаях:</w:t>
      </w:r>
    </w:p>
    <w:p w:rsidR="00962B7B" w:rsidRDefault="005A7587">
      <w:pPr>
        <w:ind w:left="709" w:right="2" w:firstLine="0"/>
      </w:pPr>
      <w:r>
        <w:t>а) сопровождение такого указания словами «или эквивалент»;</w:t>
      </w:r>
    </w:p>
    <w:p w:rsidR="00962B7B" w:rsidRDefault="005A7587">
      <w:pPr>
        <w:ind w:left="0" w:right="2"/>
      </w:pPr>
      <w:r>
        <w:t>б) несовместимость товаров, на которых размещаются другие товарные знаки, и необходимость обеспечения взаимодействия таких товаров с товарам</w:t>
      </w:r>
      <w:r>
        <w:t>и, используемыми заказчиком;</w:t>
      </w:r>
    </w:p>
    <w:p w:rsidR="00962B7B" w:rsidRDefault="005A7587" w:rsidP="005A7587">
      <w:pPr>
        <w:spacing w:line="265" w:lineRule="auto"/>
        <w:ind w:left="10" w:hanging="10"/>
      </w:pPr>
      <w:r>
        <w:t xml:space="preserve">            </w:t>
      </w:r>
      <w: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962B7B" w:rsidRDefault="005A7587">
      <w:pPr>
        <w:ind w:left="0" w:right="2"/>
      </w:pPr>
      <w:r>
        <w:t>г) осуществление закупки медицинс</w:t>
      </w:r>
      <w:r>
        <w:t>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</w:t>
      </w:r>
      <w:r>
        <w:t>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962B7B" w:rsidRDefault="005A7587">
      <w:pPr>
        <w:ind w:left="0" w:right="2"/>
      </w:pPr>
      <w:r>
        <w:t xml:space="preserve">2) использование при составлении описания объекта </w:t>
      </w:r>
      <w:r>
        <w:t>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</w:t>
      </w:r>
      <w:r>
        <w:t>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</w:t>
      </w:r>
      <w:r>
        <w:t>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</w:t>
      </w:r>
      <w:r>
        <w:t>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</w:t>
      </w:r>
      <w:r>
        <w:t>бходимости использования других показателей, требований, условных обозначений и терминологии;</w:t>
      </w:r>
    </w:p>
    <w:p w:rsidR="00962B7B" w:rsidRDefault="005A7587">
      <w:pPr>
        <w:ind w:left="0" w:right="2"/>
      </w:pPr>
      <w:r>
        <w:t>В силу ч. 2 ст. 33 Закона о закупках описание объекта закупки в соответствии с требованиями, указанными в ч. 1 ст. 33 Закона о закупках, должно содержать показате</w:t>
      </w:r>
      <w:r>
        <w:t>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62B7B" w:rsidRDefault="005A7587">
      <w:pPr>
        <w:ind w:left="0" w:right="2"/>
      </w:pPr>
      <w:r>
        <w:t>Согл</w:t>
      </w:r>
      <w:r>
        <w:t>асно п. 2 ч. 1 ст. 33 Закона о закупках Заказчик в случаях, предусмотренных настоящим Федеральным законом, при описании объекта закупки должен руководствоваться следующими правилами: использование при составлении описания объекта закупки показателей, требо</w:t>
      </w:r>
      <w:r>
        <w:t>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</w:t>
      </w:r>
      <w:r>
        <w:t>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</w:t>
      </w:r>
      <w:r>
        <w:t>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</w:t>
      </w:r>
      <w:r>
        <w:t>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</w:t>
      </w:r>
      <w:r>
        <w:t>ругих показателей, требований, условных обозначений и терминологии.</w:t>
      </w:r>
    </w:p>
    <w:p w:rsidR="00962B7B" w:rsidRDefault="005A7587">
      <w:pPr>
        <w:ind w:left="0" w:right="2"/>
      </w:pPr>
      <w:r>
        <w:t xml:space="preserve">Предметом закупки является поставка и установка причального понтонного комплекса, установлены характеристики закупаемого товара </w:t>
      </w:r>
    </w:p>
    <w:p w:rsidR="00962B7B" w:rsidRDefault="005A7587">
      <w:pPr>
        <w:ind w:left="0" w:right="2"/>
      </w:pPr>
      <w:r>
        <w:t>Проектом муниципального контракта (приложение №4 к Извещени</w:t>
      </w:r>
      <w:r>
        <w:t>ю об осуществлении закупки) предусмотрено, что Поставщик обязуется поставить причальный понтонный комплекс (далее - Товар), а Заказчик обязуется принять и оплатить Товар в порядке и на условиях, предусмотренных Контрактом (п. 1.1.).  Наименование, количест</w:t>
      </w:r>
      <w:r>
        <w:t>во и иные характеристики поставляемого Товара указаны в спецификации (приложение к Контракту), являющейся неотъемлемой частью Контракта (п. 1.2.).</w:t>
      </w:r>
    </w:p>
    <w:p w:rsidR="00962B7B" w:rsidRDefault="005A7587">
      <w:pPr>
        <w:ind w:left="0" w:right="2"/>
      </w:pPr>
      <w:r>
        <w:t xml:space="preserve">В приложении № 3 к Извещению об осуществлении закупки «Требования к содержанию, составу заявки на участие в закупке и инструкция по ее заполнению» содержится информация: </w:t>
      </w:r>
    </w:p>
    <w:p w:rsidR="00962B7B" w:rsidRDefault="005A7587">
      <w:pPr>
        <w:ind w:left="0" w:right="2"/>
      </w:pPr>
      <w:r>
        <w:t>Информация, указанная в Приложении № 1 к Извещению об осуществлении закупки «Описание</w:t>
      </w:r>
      <w:r>
        <w:t xml:space="preserve"> объекта закупки» в табличной части (за исключением информации о количестве товара) относится к характеристикам, предусмотренным пунктом 1 части 1 статьи 33 Закона о контрактной системе.</w:t>
      </w:r>
    </w:p>
    <w:p w:rsidR="00962B7B" w:rsidRDefault="005A7587">
      <w:pPr>
        <w:ind w:left="0" w:right="2"/>
      </w:pPr>
      <w:r>
        <w:t>Информация, указанная в Приложении № 1 к Извещению об осуществлении з</w:t>
      </w:r>
      <w:r>
        <w:t xml:space="preserve">акупки «Описание объекта закупки» вне табличной части, не относится к характеристикам, предусмотренным пунктом 1 части 1 статьи 33 Закона о контрактной системе. При этом согласно </w:t>
      </w:r>
      <w:proofErr w:type="gramStart"/>
      <w:r>
        <w:t>приложению</w:t>
      </w:r>
      <w:proofErr w:type="gramEnd"/>
      <w:r>
        <w:t xml:space="preserve"> к проекту контракта (спецификация) Таблица №1</w:t>
      </w:r>
    </w:p>
    <w:tbl>
      <w:tblPr>
        <w:tblStyle w:val="TableGrid"/>
        <w:tblW w:w="10068" w:type="dxa"/>
        <w:tblInd w:w="8" w:type="dxa"/>
        <w:tblCellMar>
          <w:top w:w="13" w:type="dxa"/>
          <w:left w:w="109" w:type="dxa"/>
          <w:bottom w:w="0" w:type="dxa"/>
          <w:right w:w="112" w:type="dxa"/>
        </w:tblCellMar>
        <w:tblLook w:val="04A0" w:firstRow="1" w:lastRow="0" w:firstColumn="1" w:lastColumn="0" w:noHBand="0" w:noVBand="1"/>
      </w:tblPr>
      <w:tblGrid>
        <w:gridCol w:w="2438"/>
        <w:gridCol w:w="1172"/>
        <w:gridCol w:w="6458"/>
      </w:tblGrid>
      <w:tr w:rsidR="00962B7B">
        <w:trPr>
          <w:trHeight w:val="24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 xml:space="preserve">1 Объект 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0"/>
              </w:rPr>
              <w:t>Поставка и</w:t>
            </w:r>
            <w:r>
              <w:rPr>
                <w:sz w:val="20"/>
              </w:rPr>
              <w:t xml:space="preserve"> установка понтонного комплекса. </w:t>
            </w:r>
          </w:p>
        </w:tc>
      </w:tr>
      <w:tr w:rsidR="00962B7B">
        <w:trPr>
          <w:trHeight w:val="472"/>
        </w:trPr>
        <w:tc>
          <w:tcPr>
            <w:tcW w:w="335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 xml:space="preserve">2 Цель </w:t>
            </w:r>
          </w:p>
        </w:tc>
        <w:tc>
          <w:tcPr>
            <w:tcW w:w="67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</w:pPr>
            <w:r>
              <w:rPr>
                <w:sz w:val="20"/>
              </w:rPr>
              <w:t xml:space="preserve">Обеспечение безопасного подхода и стоянки маломерных судов и </w:t>
            </w:r>
            <w:proofErr w:type="spellStart"/>
            <w:r>
              <w:rPr>
                <w:sz w:val="20"/>
              </w:rPr>
              <w:t>посадкивысадки</w:t>
            </w:r>
            <w:proofErr w:type="spellEnd"/>
            <w:r>
              <w:rPr>
                <w:sz w:val="20"/>
              </w:rPr>
              <w:t xml:space="preserve"> пассажиров</w:t>
            </w:r>
          </w:p>
        </w:tc>
      </w:tr>
      <w:tr w:rsidR="00962B7B">
        <w:trPr>
          <w:trHeight w:val="418"/>
        </w:trPr>
        <w:tc>
          <w:tcPr>
            <w:tcW w:w="1006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 Технические требования к причалу</w:t>
            </w:r>
          </w:p>
        </w:tc>
      </w:tr>
      <w:tr w:rsidR="00962B7B">
        <w:trPr>
          <w:trHeight w:val="1858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3.1 Материалы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9" w:lineRule="auto"/>
              <w:ind w:left="0" w:firstLine="0"/>
            </w:pPr>
            <w:r>
              <w:rPr>
                <w:sz w:val="20"/>
              </w:rPr>
              <w:t xml:space="preserve">Разработка и согласование ТУ по несущим рамам модульным универсальным (РМУ) для МПУ; </w:t>
            </w:r>
          </w:p>
          <w:p w:rsidR="00962B7B" w:rsidRDefault="005A7587">
            <w:pPr>
              <w:spacing w:line="239" w:lineRule="auto"/>
              <w:ind w:left="0" w:firstLine="0"/>
            </w:pPr>
            <w:r>
              <w:rPr>
                <w:sz w:val="20"/>
              </w:rPr>
              <w:t>Поплавки понтонов — полиэтилен (ПНД) труба, заглушенная аналогичным материалом. (с согласованной документацией с РКО);</w:t>
            </w:r>
          </w:p>
          <w:p w:rsidR="00962B7B" w:rsidRDefault="005A7587">
            <w:pPr>
              <w:spacing w:line="239" w:lineRule="auto"/>
              <w:ind w:left="0" w:firstLine="0"/>
            </w:pPr>
            <w:r>
              <w:rPr>
                <w:sz w:val="20"/>
              </w:rPr>
              <w:t xml:space="preserve">Несущий каркас понтонов — стальная рама из гнутого </w:t>
            </w:r>
            <w:r>
              <w:rPr>
                <w:sz w:val="20"/>
              </w:rPr>
              <w:t>швеллера, с согласованной документацией РКО;</w:t>
            </w:r>
          </w:p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0"/>
              </w:rPr>
              <w:t>Настил понтонов — доска хвойных пород (сосна, ель) с обработкой огнезащитными составами.</w:t>
            </w:r>
          </w:p>
        </w:tc>
      </w:tr>
      <w:tr w:rsidR="00962B7B">
        <w:trPr>
          <w:trHeight w:val="2088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3.2 Оборудование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0"/>
              </w:rPr>
              <w:t>Причал оборудовать:</w:t>
            </w:r>
          </w:p>
          <w:p w:rsidR="00962B7B" w:rsidRDefault="005A7587">
            <w:pPr>
              <w:numPr>
                <w:ilvl w:val="0"/>
                <w:numId w:val="6"/>
              </w:numPr>
              <w:spacing w:line="259" w:lineRule="auto"/>
              <w:ind w:firstLine="0"/>
              <w:jc w:val="left"/>
            </w:pPr>
            <w:r>
              <w:rPr>
                <w:sz w:val="20"/>
              </w:rPr>
              <w:t>причальными пальцами;</w:t>
            </w:r>
          </w:p>
          <w:p w:rsidR="00962B7B" w:rsidRDefault="005A7587">
            <w:pPr>
              <w:numPr>
                <w:ilvl w:val="0"/>
                <w:numId w:val="6"/>
              </w:numPr>
              <w:spacing w:line="259" w:lineRule="auto"/>
              <w:ind w:firstLine="0"/>
              <w:jc w:val="left"/>
            </w:pPr>
            <w:proofErr w:type="spellStart"/>
            <w:r>
              <w:rPr>
                <w:sz w:val="20"/>
              </w:rPr>
              <w:t>леерным</w:t>
            </w:r>
            <w:proofErr w:type="spellEnd"/>
            <w:r>
              <w:rPr>
                <w:sz w:val="20"/>
              </w:rPr>
              <w:t xml:space="preserve"> ограждением;</w:t>
            </w:r>
          </w:p>
          <w:p w:rsidR="00962B7B" w:rsidRDefault="005A7587">
            <w:pPr>
              <w:numPr>
                <w:ilvl w:val="0"/>
                <w:numId w:val="6"/>
              </w:numPr>
              <w:spacing w:line="259" w:lineRule="auto"/>
              <w:ind w:firstLine="0"/>
              <w:jc w:val="left"/>
            </w:pPr>
            <w:r>
              <w:rPr>
                <w:sz w:val="20"/>
              </w:rPr>
              <w:t>трапом-сходней;</w:t>
            </w:r>
          </w:p>
          <w:p w:rsidR="00962B7B" w:rsidRDefault="005A7587">
            <w:pPr>
              <w:numPr>
                <w:ilvl w:val="0"/>
                <w:numId w:val="6"/>
              </w:numPr>
              <w:spacing w:line="259" w:lineRule="auto"/>
              <w:ind w:firstLine="0"/>
              <w:jc w:val="left"/>
            </w:pPr>
            <w:r>
              <w:rPr>
                <w:sz w:val="20"/>
              </w:rPr>
              <w:t>сигнально-отличительным фонарем;</w:t>
            </w:r>
          </w:p>
          <w:p w:rsidR="00962B7B" w:rsidRDefault="005A7587">
            <w:pPr>
              <w:numPr>
                <w:ilvl w:val="0"/>
                <w:numId w:val="6"/>
              </w:numPr>
              <w:spacing w:line="259" w:lineRule="auto"/>
              <w:ind w:firstLine="0"/>
              <w:jc w:val="left"/>
            </w:pPr>
            <w:r>
              <w:rPr>
                <w:sz w:val="20"/>
              </w:rPr>
              <w:t xml:space="preserve">системой </w:t>
            </w:r>
            <w:proofErr w:type="spellStart"/>
            <w:r>
              <w:rPr>
                <w:sz w:val="20"/>
              </w:rPr>
              <w:t>молниезащитного</w:t>
            </w:r>
            <w:proofErr w:type="spellEnd"/>
            <w:r>
              <w:rPr>
                <w:sz w:val="20"/>
              </w:rPr>
              <w:t xml:space="preserve"> заземления;</w:t>
            </w:r>
          </w:p>
          <w:p w:rsidR="00962B7B" w:rsidRDefault="005A7587">
            <w:pPr>
              <w:numPr>
                <w:ilvl w:val="0"/>
                <w:numId w:val="6"/>
              </w:numPr>
              <w:spacing w:line="259" w:lineRule="auto"/>
              <w:ind w:firstLine="0"/>
              <w:jc w:val="left"/>
            </w:pPr>
            <w:r>
              <w:rPr>
                <w:sz w:val="20"/>
              </w:rPr>
              <w:t>спасательными средствами;</w:t>
            </w:r>
          </w:p>
          <w:p w:rsidR="00962B7B" w:rsidRDefault="005A7587">
            <w:pPr>
              <w:numPr>
                <w:ilvl w:val="0"/>
                <w:numId w:val="6"/>
              </w:numPr>
              <w:spacing w:line="259" w:lineRule="auto"/>
              <w:ind w:firstLine="0"/>
              <w:jc w:val="left"/>
            </w:pPr>
            <w:r>
              <w:rPr>
                <w:sz w:val="20"/>
              </w:rPr>
              <w:t xml:space="preserve">швартовными устройствами и привальным </w:t>
            </w:r>
            <w:proofErr w:type="gramStart"/>
            <w:r>
              <w:rPr>
                <w:sz w:val="20"/>
              </w:rPr>
              <w:t>брусом;-</w:t>
            </w:r>
            <w:proofErr w:type="gramEnd"/>
            <w:r>
              <w:rPr>
                <w:sz w:val="20"/>
              </w:rPr>
              <w:t xml:space="preserve"> системой раскрепления на месте эксплуатации.</w:t>
            </w:r>
          </w:p>
        </w:tc>
      </w:tr>
      <w:tr w:rsidR="00962B7B">
        <w:trPr>
          <w:trHeight w:val="934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 xml:space="preserve">3.3 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Месторасположение, условия и период эксплуатации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right="1976" w:firstLine="0"/>
              <w:jc w:val="left"/>
            </w:pPr>
            <w:r>
              <w:rPr>
                <w:sz w:val="20"/>
              </w:rPr>
              <w:t xml:space="preserve">Российская Федерация, Саратовская </w:t>
            </w:r>
            <w:proofErr w:type="spellStart"/>
            <w:r>
              <w:rPr>
                <w:sz w:val="20"/>
              </w:rPr>
              <w:t>обл</w:t>
            </w:r>
            <w:proofErr w:type="spellEnd"/>
            <w:r>
              <w:rPr>
                <w:sz w:val="20"/>
              </w:rPr>
              <w:t xml:space="preserve">, г. Саратов, с. </w:t>
            </w:r>
            <w:proofErr w:type="spellStart"/>
            <w:r>
              <w:rPr>
                <w:sz w:val="20"/>
              </w:rPr>
              <w:t>Сабуровка</w:t>
            </w:r>
            <w:proofErr w:type="spellEnd"/>
            <w:r>
              <w:rPr>
                <w:sz w:val="20"/>
              </w:rPr>
              <w:t>. В период навигации.</w:t>
            </w:r>
          </w:p>
        </w:tc>
      </w:tr>
      <w:tr w:rsidR="00962B7B">
        <w:trPr>
          <w:trHeight w:val="47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 xml:space="preserve">3.6. </w:t>
            </w:r>
            <w:proofErr w:type="spellStart"/>
            <w:r>
              <w:rPr>
                <w:sz w:val="20"/>
              </w:rPr>
              <w:t>Леерное</w:t>
            </w:r>
            <w:proofErr w:type="spellEnd"/>
            <w:r>
              <w:rPr>
                <w:sz w:val="20"/>
              </w:rPr>
              <w:t xml:space="preserve"> ограждение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0"/>
              </w:rPr>
              <w:t xml:space="preserve">С нерабочей стороны причала предусмотреть установку </w:t>
            </w:r>
            <w:proofErr w:type="spellStart"/>
            <w:r>
              <w:rPr>
                <w:sz w:val="20"/>
              </w:rPr>
              <w:t>леерного</w:t>
            </w:r>
            <w:proofErr w:type="spellEnd"/>
            <w:r>
              <w:rPr>
                <w:sz w:val="20"/>
              </w:rPr>
              <w:t xml:space="preserve"> ограждения.</w:t>
            </w:r>
            <w:r>
              <w:rPr>
                <w:strike/>
                <w:color w:val="FF0000"/>
                <w:sz w:val="20"/>
              </w:rPr>
              <w:t xml:space="preserve"> </w:t>
            </w:r>
          </w:p>
        </w:tc>
      </w:tr>
      <w:tr w:rsidR="00962B7B">
        <w:trPr>
          <w:trHeight w:val="47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3.7 Сходный трап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</w:pPr>
            <w:r>
              <w:rPr>
                <w:sz w:val="20"/>
              </w:rPr>
              <w:t xml:space="preserve">Для перехода на берег предусмотреть снабжение </w:t>
            </w:r>
            <w:proofErr w:type="gramStart"/>
            <w:r>
              <w:rPr>
                <w:sz w:val="20"/>
              </w:rPr>
              <w:t>причала  сходней</w:t>
            </w:r>
            <w:proofErr w:type="gramEnd"/>
            <w:r>
              <w:rPr>
                <w:sz w:val="20"/>
              </w:rPr>
              <w:t xml:space="preserve"> марки Трапы-сходни судовые  ТУ 28.99.39-005-2002188823-2024</w:t>
            </w:r>
          </w:p>
        </w:tc>
      </w:tr>
      <w:tr w:rsidR="00962B7B">
        <w:trPr>
          <w:trHeight w:val="704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 xml:space="preserve">3.8 </w:t>
            </w:r>
            <w:proofErr w:type="spellStart"/>
            <w:r>
              <w:rPr>
                <w:sz w:val="20"/>
              </w:rPr>
              <w:t>Сигнальноотличительные</w:t>
            </w:r>
            <w:proofErr w:type="spellEnd"/>
            <w:r>
              <w:rPr>
                <w:sz w:val="20"/>
              </w:rPr>
              <w:t xml:space="preserve"> фонари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0"/>
              </w:rPr>
              <w:t>Предусмотреть снабжение причала белым круговым фонарем с питанием от щелочной батареи типа «</w:t>
            </w:r>
            <w:proofErr w:type="gramStart"/>
            <w:r>
              <w:rPr>
                <w:sz w:val="20"/>
              </w:rPr>
              <w:t>Лиман»</w:t>
            </w:r>
            <w:r>
              <w:rPr>
                <w:sz w:val="20"/>
              </w:rPr>
              <w:t>/</w:t>
            </w:r>
            <w:proofErr w:type="gramEnd"/>
            <w:r>
              <w:rPr>
                <w:sz w:val="20"/>
              </w:rPr>
              <w:t xml:space="preserve"> или аналог.</w:t>
            </w:r>
          </w:p>
        </w:tc>
      </w:tr>
      <w:tr w:rsidR="00962B7B">
        <w:trPr>
          <w:trHeight w:val="47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 xml:space="preserve">3.9 Система </w:t>
            </w:r>
            <w:proofErr w:type="spellStart"/>
            <w:r>
              <w:rPr>
                <w:sz w:val="20"/>
              </w:rPr>
              <w:t>молниезащиты</w:t>
            </w:r>
            <w:proofErr w:type="spellEnd"/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0"/>
              </w:rPr>
              <w:t xml:space="preserve">Предусмотреть оборудование причала системой </w:t>
            </w:r>
            <w:proofErr w:type="spellStart"/>
            <w:r>
              <w:rPr>
                <w:sz w:val="20"/>
              </w:rPr>
              <w:t>молниезащиты</w:t>
            </w:r>
            <w:proofErr w:type="spellEnd"/>
            <w:r>
              <w:rPr>
                <w:sz w:val="20"/>
              </w:rPr>
              <w:t xml:space="preserve">, включающей в себя </w:t>
            </w:r>
            <w:proofErr w:type="spellStart"/>
            <w:r>
              <w:rPr>
                <w:sz w:val="20"/>
              </w:rPr>
              <w:t>молниеуловители</w:t>
            </w:r>
            <w:proofErr w:type="spellEnd"/>
            <w:r>
              <w:rPr>
                <w:sz w:val="20"/>
              </w:rPr>
              <w:t>, отводящие провода и заземляющую пластину.</w:t>
            </w:r>
          </w:p>
        </w:tc>
      </w:tr>
      <w:tr w:rsidR="00962B7B">
        <w:trPr>
          <w:trHeight w:val="47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3.10 Спасательные средства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0"/>
              </w:rPr>
              <w:t xml:space="preserve">Предусмотреть снабжение причала спасательными кругами, спасательным веревочным леером и </w:t>
            </w:r>
            <w:proofErr w:type="spellStart"/>
            <w:r>
              <w:rPr>
                <w:sz w:val="20"/>
              </w:rPr>
              <w:t>подтрапной</w:t>
            </w:r>
            <w:proofErr w:type="spellEnd"/>
            <w:r>
              <w:rPr>
                <w:sz w:val="20"/>
              </w:rPr>
              <w:t xml:space="preserve"> сетью.</w:t>
            </w:r>
          </w:p>
        </w:tc>
      </w:tr>
      <w:tr w:rsidR="00962B7B">
        <w:trPr>
          <w:trHeight w:val="934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3.11 Швартовные устройства и привальный брус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9" w:lineRule="auto"/>
              <w:ind w:left="0" w:firstLine="0"/>
            </w:pPr>
            <w:r>
              <w:rPr>
                <w:sz w:val="20"/>
              </w:rPr>
              <w:t xml:space="preserve">Для швартовки МС к причалу предусмотреть швартовные кнехты. (Кнехты стальные сварные ТУ 28.99.39-001-2002188823-2024) </w:t>
            </w:r>
          </w:p>
          <w:p w:rsidR="00962B7B" w:rsidRDefault="005A7587">
            <w:pPr>
              <w:spacing w:line="259" w:lineRule="auto"/>
              <w:ind w:left="0" w:firstLine="0"/>
            </w:pPr>
            <w:r>
              <w:rPr>
                <w:sz w:val="20"/>
              </w:rPr>
              <w:t>С рабочей стороны причальных карманов установить резиновый цельнолитой привальный брус (или похожий по типу аналог).</w:t>
            </w:r>
          </w:p>
        </w:tc>
      </w:tr>
      <w:tr w:rsidR="00962B7B">
        <w:trPr>
          <w:trHeight w:val="47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3.12 Система раскре</w:t>
            </w:r>
            <w:r>
              <w:rPr>
                <w:sz w:val="20"/>
              </w:rPr>
              <w:t xml:space="preserve">пления к 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</w:pPr>
            <w:r>
              <w:rPr>
                <w:sz w:val="20"/>
              </w:rPr>
              <w:t xml:space="preserve">Предусмотреть систему раскрепления причала, включающую в себя оттяжки или шарнирные соединения, и (или) скользящее соединение </w:t>
            </w:r>
          </w:p>
        </w:tc>
      </w:tr>
      <w:tr w:rsidR="00962B7B">
        <w:trPr>
          <w:trHeight w:val="24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берегу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2320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3.13 Конструкция причала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9" w:lineRule="auto"/>
              <w:ind w:left="0" w:firstLine="0"/>
            </w:pPr>
            <w:r>
              <w:rPr>
                <w:sz w:val="20"/>
              </w:rPr>
              <w:t xml:space="preserve">Причал представляет из себя комплекс понтонных рам (имеющих согласованное ТУ и тех. документацию с РКО) на которых установлены универсальные плавучие элементы (также с согласованным ТУ и тех. документацией с РКО) комплекс состоит </w:t>
            </w:r>
            <w:proofErr w:type="gramStart"/>
            <w:r>
              <w:rPr>
                <w:sz w:val="20"/>
              </w:rPr>
              <w:t>из модулей</w:t>
            </w:r>
            <w:proofErr w:type="gramEnd"/>
            <w:r>
              <w:rPr>
                <w:sz w:val="20"/>
              </w:rPr>
              <w:t xml:space="preserve"> жёстко соединен</w:t>
            </w:r>
            <w:r>
              <w:rPr>
                <w:sz w:val="20"/>
              </w:rPr>
              <w:t xml:space="preserve">ных между собой. </w:t>
            </w:r>
          </w:p>
          <w:p w:rsidR="00962B7B" w:rsidRDefault="005A7587">
            <w:pPr>
              <w:spacing w:line="239" w:lineRule="auto"/>
              <w:ind w:left="0" w:firstLine="0"/>
            </w:pPr>
            <w:r>
              <w:rPr>
                <w:sz w:val="20"/>
              </w:rPr>
              <w:t>Сборку понтонов в причал предусмотреть с помощью подвижных соединений (шарниров с горизонтальной осью вращения) или жестких болтовых соединений.</w:t>
            </w:r>
          </w:p>
          <w:p w:rsidR="00962B7B" w:rsidRDefault="005A7587">
            <w:pPr>
              <w:spacing w:line="239" w:lineRule="auto"/>
              <w:ind w:left="0" w:firstLine="0"/>
            </w:pPr>
            <w:r>
              <w:rPr>
                <w:sz w:val="20"/>
              </w:rPr>
              <w:t>Соединенные понтоны должны формировать основной причал перпендикулярно которому должны быть у</w:t>
            </w:r>
            <w:r>
              <w:rPr>
                <w:sz w:val="20"/>
              </w:rPr>
              <w:t xml:space="preserve">становлены причальные пальцы.  </w:t>
            </w:r>
          </w:p>
          <w:p w:rsidR="00962B7B" w:rsidRDefault="005A7587">
            <w:pPr>
              <w:spacing w:line="259" w:lineRule="auto"/>
              <w:ind w:left="0" w:firstLine="0"/>
              <w:jc w:val="left"/>
            </w:pPr>
            <w:proofErr w:type="gramStart"/>
            <w:r>
              <w:rPr>
                <w:sz w:val="20"/>
              </w:rPr>
              <w:t>Причальные  пальцы</w:t>
            </w:r>
            <w:proofErr w:type="gramEnd"/>
            <w:r>
              <w:rPr>
                <w:sz w:val="20"/>
              </w:rPr>
              <w:t xml:space="preserve"> должны присоединяться к основному причалу с помощью шарниров с горизонтальной осью вращения.</w:t>
            </w:r>
          </w:p>
        </w:tc>
      </w:tr>
      <w:tr w:rsidR="00962B7B">
        <w:trPr>
          <w:trHeight w:val="472"/>
        </w:trPr>
        <w:tc>
          <w:tcPr>
            <w:tcW w:w="2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0"/>
              </w:rPr>
              <w:t>3.14 Сеть освещения причала</w:t>
            </w:r>
          </w:p>
        </w:tc>
        <w:tc>
          <w:tcPr>
            <w:tcW w:w="794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</w:pPr>
            <w:r>
              <w:rPr>
                <w:sz w:val="20"/>
              </w:rPr>
              <w:t>Освещение причала осуществляется направленными фонарями с берега. Проектирование ос</w:t>
            </w:r>
            <w:r>
              <w:rPr>
                <w:sz w:val="20"/>
              </w:rPr>
              <w:t xml:space="preserve">вещения с берега в проект не входит. </w:t>
            </w:r>
          </w:p>
        </w:tc>
      </w:tr>
    </w:tbl>
    <w:p w:rsidR="00962B7B" w:rsidRDefault="005A7587">
      <w:pPr>
        <w:ind w:left="0" w:right="2"/>
      </w:pPr>
      <w:r>
        <w:t>Согласно приложению № 1 к Извещению об осуществлении закупки «Описание объекта закупки</w:t>
      </w:r>
      <w:proofErr w:type="gramStart"/>
      <w:r>
        <w:t>»</w:t>
      </w:r>
      <w:proofErr w:type="gramEnd"/>
      <w:r>
        <w:t xml:space="preserve"> указаны наименование объекта закупки: Поставка и установка причального понтонного комплекса, а также требования к функциональным, техническим и качественным характерист</w:t>
      </w:r>
      <w:r>
        <w:t>икам объекта закупки:</w:t>
      </w:r>
    </w:p>
    <w:tbl>
      <w:tblPr>
        <w:tblStyle w:val="TableGrid"/>
        <w:tblW w:w="10206" w:type="dxa"/>
        <w:tblInd w:w="-2" w:type="dxa"/>
        <w:tblCellMar>
          <w:top w:w="13" w:type="dxa"/>
          <w:left w:w="10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564"/>
        <w:gridCol w:w="943"/>
        <w:gridCol w:w="2063"/>
        <w:gridCol w:w="2065"/>
        <w:gridCol w:w="850"/>
        <w:gridCol w:w="2274"/>
        <w:gridCol w:w="634"/>
        <w:gridCol w:w="474"/>
      </w:tblGrid>
      <w:tr w:rsidR="00962B7B">
        <w:trPr>
          <w:trHeight w:val="1942"/>
        </w:trPr>
        <w:tc>
          <w:tcPr>
            <w:tcW w:w="2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right="-61" w:firstLine="0"/>
            </w:pPr>
            <w:r>
              <w:t>№</w:t>
            </w:r>
          </w:p>
          <w:p w:rsidR="00962B7B" w:rsidRDefault="005A7587">
            <w:pPr>
              <w:spacing w:line="259" w:lineRule="auto"/>
              <w:ind w:left="2" w:firstLine="0"/>
              <w:jc w:val="left"/>
            </w:pPr>
            <w:r>
              <w:t xml:space="preserve"> </w:t>
            </w:r>
          </w:p>
          <w:p w:rsidR="00962B7B" w:rsidRDefault="005A7587">
            <w:pPr>
              <w:spacing w:line="259" w:lineRule="auto"/>
              <w:ind w:left="1" w:firstLine="0"/>
            </w:pPr>
            <w:r>
              <w:t>п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/</w:t>
            </w:r>
          </w:p>
          <w:p w:rsidR="00962B7B" w:rsidRDefault="005A7587">
            <w:pPr>
              <w:spacing w:line="259" w:lineRule="auto"/>
              <w:ind w:left="1" w:firstLine="0"/>
            </w:pPr>
            <w:r>
              <w:t>п</w:t>
            </w:r>
          </w:p>
        </w:tc>
        <w:tc>
          <w:tcPr>
            <w:tcW w:w="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23" w:firstLine="0"/>
            </w:pPr>
            <w:r>
              <w:t>КТ</w:t>
            </w:r>
          </w:p>
          <w:p w:rsidR="00962B7B" w:rsidRDefault="005A7587">
            <w:pPr>
              <w:spacing w:line="259" w:lineRule="auto"/>
              <w:ind w:left="28" w:firstLine="0"/>
            </w:pPr>
            <w:r>
              <w:t>РУ</w:t>
            </w:r>
          </w:p>
          <w:p w:rsidR="00962B7B" w:rsidRDefault="005A7587">
            <w:pPr>
              <w:spacing w:line="259" w:lineRule="auto"/>
              <w:ind w:left="0" w:right="107" w:firstLine="0"/>
              <w:jc w:val="center"/>
            </w:pPr>
            <w:r>
              <w:t>/</w:t>
            </w:r>
          </w:p>
          <w:p w:rsidR="00962B7B" w:rsidRDefault="005A7587">
            <w:pPr>
              <w:spacing w:line="259" w:lineRule="auto"/>
              <w:ind w:left="10" w:firstLine="0"/>
            </w:pPr>
            <w:r>
              <w:t>ОК</w:t>
            </w:r>
          </w:p>
          <w:p w:rsidR="00962B7B" w:rsidRDefault="005A7587">
            <w:pPr>
              <w:spacing w:line="259" w:lineRule="auto"/>
              <w:ind w:left="8" w:firstLine="0"/>
            </w:pPr>
            <w:r>
              <w:t>ПД</w:t>
            </w:r>
          </w:p>
          <w:p w:rsidR="00962B7B" w:rsidRDefault="005A7587">
            <w:pPr>
              <w:spacing w:line="259" w:lineRule="auto"/>
              <w:ind w:left="117" w:firstLine="0"/>
              <w:jc w:val="left"/>
            </w:pPr>
            <w:r>
              <w:t>2</w:t>
            </w:r>
          </w:p>
        </w:tc>
        <w:tc>
          <w:tcPr>
            <w:tcW w:w="9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right="85" w:firstLine="0"/>
              <w:jc w:val="center"/>
            </w:pPr>
            <w:proofErr w:type="spellStart"/>
            <w:r>
              <w:t>Наиме</w:t>
            </w:r>
            <w:proofErr w:type="spellEnd"/>
            <w:r>
              <w:t xml:space="preserve"> </w:t>
            </w:r>
            <w:proofErr w:type="spellStart"/>
            <w:r>
              <w:t>новани</w:t>
            </w:r>
            <w:proofErr w:type="spellEnd"/>
            <w:r>
              <w:t xml:space="preserve"> е товара</w:t>
            </w: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t>Наименование технических характеристик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12"/>
              <w:jc w:val="center"/>
            </w:pPr>
            <w:r>
              <w:t>Значение технических характеристик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t xml:space="preserve">Един </w:t>
            </w:r>
            <w:proofErr w:type="spellStart"/>
            <w:r>
              <w:t>ица</w:t>
            </w:r>
            <w:proofErr w:type="spellEnd"/>
          </w:p>
          <w:p w:rsidR="00962B7B" w:rsidRDefault="005A7587">
            <w:pPr>
              <w:spacing w:line="259" w:lineRule="auto"/>
              <w:ind w:left="2" w:hanging="2"/>
              <w:jc w:val="center"/>
            </w:pPr>
            <w:proofErr w:type="spellStart"/>
            <w:r>
              <w:t>измер</w:t>
            </w:r>
            <w:proofErr w:type="spellEnd"/>
            <w:r>
              <w:t xml:space="preserve"> </w:t>
            </w:r>
            <w:proofErr w:type="spellStart"/>
            <w:r>
              <w:t>ения</w:t>
            </w:r>
            <w:proofErr w:type="spellEnd"/>
            <w:r>
              <w:t xml:space="preserve"> </w:t>
            </w:r>
            <w:proofErr w:type="spellStart"/>
            <w:r>
              <w:t>харак</w:t>
            </w:r>
            <w:proofErr w:type="spellEnd"/>
            <w:r>
              <w:t xml:space="preserve"> </w:t>
            </w:r>
            <w:proofErr w:type="spellStart"/>
            <w:r>
              <w:t>терис</w:t>
            </w:r>
            <w:proofErr w:type="spellEnd"/>
            <w:r>
              <w:t xml:space="preserve"> тики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t>Инструкция по заполнению</w:t>
            </w:r>
          </w:p>
          <w:p w:rsidR="00962B7B" w:rsidRDefault="005A7587">
            <w:pPr>
              <w:spacing w:line="259" w:lineRule="auto"/>
              <w:ind w:left="0" w:right="107" w:firstLine="0"/>
              <w:jc w:val="center"/>
            </w:pPr>
            <w:r>
              <w:t>характеристик в</w:t>
            </w:r>
          </w:p>
          <w:p w:rsidR="00962B7B" w:rsidRDefault="005A7587">
            <w:pPr>
              <w:spacing w:line="259" w:lineRule="auto"/>
              <w:ind w:left="0" w:right="105" w:firstLine="0"/>
              <w:jc w:val="center"/>
            </w:pPr>
            <w:r>
              <w:t>заявке</w:t>
            </w:r>
            <w:r>
              <w:rPr>
                <w:sz w:val="22"/>
                <w:vertAlign w:val="superscript"/>
              </w:rPr>
              <w:t>(1)</w:t>
            </w:r>
          </w:p>
        </w:tc>
        <w:tc>
          <w:tcPr>
            <w:tcW w:w="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Ед. изм.</w:t>
            </w:r>
          </w:p>
        </w:tc>
        <w:tc>
          <w:tcPr>
            <w:tcW w:w="4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4" w:right="36" w:hanging="4"/>
              <w:jc w:val="center"/>
            </w:pPr>
            <w:r>
              <w:rPr>
                <w:sz w:val="22"/>
              </w:rPr>
              <w:t xml:space="preserve">Ко ли че </w:t>
            </w:r>
            <w:proofErr w:type="spellStart"/>
            <w:r>
              <w:rPr>
                <w:sz w:val="22"/>
              </w:rPr>
              <w:t>ст</w:t>
            </w:r>
            <w:proofErr w:type="spellEnd"/>
            <w:r>
              <w:rPr>
                <w:sz w:val="22"/>
              </w:rPr>
              <w:t xml:space="preserve"> во</w:t>
            </w:r>
          </w:p>
        </w:tc>
      </w:tr>
      <w:tr w:rsidR="00962B7B">
        <w:trPr>
          <w:trHeight w:val="1942"/>
        </w:trPr>
        <w:tc>
          <w:tcPr>
            <w:tcW w:w="27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</w:pPr>
            <w:r>
              <w:t>1</w:t>
            </w:r>
          </w:p>
        </w:tc>
        <w:tc>
          <w:tcPr>
            <w:tcW w:w="56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8" w:lineRule="auto"/>
              <w:ind w:left="1" w:firstLine="0"/>
              <w:jc w:val="left"/>
            </w:pPr>
            <w:r>
              <w:t>30. 11.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50.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17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0 </w:t>
            </w:r>
          </w:p>
        </w:tc>
        <w:tc>
          <w:tcPr>
            <w:tcW w:w="94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proofErr w:type="spellStart"/>
            <w:r>
              <w:t>Прича</w:t>
            </w:r>
            <w:proofErr w:type="spellEnd"/>
            <w:r>
              <w:t xml:space="preserve"> </w:t>
            </w:r>
            <w:proofErr w:type="spellStart"/>
            <w:r>
              <w:t>льный</w:t>
            </w:r>
            <w:proofErr w:type="spellEnd"/>
            <w:r>
              <w:t xml:space="preserve"> понтон </w:t>
            </w:r>
            <w:proofErr w:type="spellStart"/>
            <w:r>
              <w:t>ный</w:t>
            </w:r>
            <w:proofErr w:type="spellEnd"/>
            <w:r>
              <w:t xml:space="preserve"> </w:t>
            </w:r>
            <w:proofErr w:type="spellStart"/>
            <w:r>
              <w:t>компле</w:t>
            </w:r>
            <w:proofErr w:type="spellEnd"/>
            <w:r>
              <w:t xml:space="preserve"> кс</w:t>
            </w: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Основной причальный понтон </w:t>
            </w:r>
            <w:proofErr w:type="spellStart"/>
            <w:r>
              <w:t>Шобразной</w:t>
            </w:r>
            <w:proofErr w:type="spellEnd"/>
            <w:r>
              <w:t xml:space="preserve"> формы, состоит из отдельных понтонов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Соответствие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63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right="5" w:firstLine="0"/>
              <w:jc w:val="center"/>
            </w:pPr>
            <w:proofErr w:type="spellStart"/>
            <w:r>
              <w:t>шту</w:t>
            </w:r>
            <w:proofErr w:type="spellEnd"/>
            <w:r>
              <w:t xml:space="preserve"> ка</w:t>
            </w:r>
          </w:p>
        </w:tc>
        <w:tc>
          <w:tcPr>
            <w:tcW w:w="476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70" w:firstLine="0"/>
              <w:jc w:val="left"/>
            </w:pPr>
            <w:r>
              <w:t>1</w:t>
            </w: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Длина основного причального понтона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16000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Милл</w:t>
            </w:r>
            <w:proofErr w:type="spellEnd"/>
            <w:r>
              <w:t xml:space="preserve"> </w:t>
            </w:r>
            <w:proofErr w:type="spellStart"/>
            <w:r>
              <w:t>иметр</w:t>
            </w:r>
            <w:proofErr w:type="spellEnd"/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right="53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666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Ширина основного причального понтона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14000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Милл</w:t>
            </w:r>
            <w:proofErr w:type="spellEnd"/>
            <w:r>
              <w:t xml:space="preserve"> </w:t>
            </w:r>
            <w:proofErr w:type="spellStart"/>
            <w:r>
              <w:t>иметр</w:t>
            </w:r>
            <w:proofErr w:type="spellEnd"/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right="53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Количество стояночных мест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 2 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Количество причальных пальцев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 3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308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Длина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9000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Милл</w:t>
            </w:r>
            <w:proofErr w:type="spellEnd"/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 xml:space="preserve">Участник закупки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962B7B" w:rsidRDefault="00962B7B">
      <w:pPr>
        <w:spacing w:line="259" w:lineRule="auto"/>
        <w:ind w:left="-1136" w:right="1" w:firstLine="0"/>
        <w:jc w:val="left"/>
      </w:pPr>
    </w:p>
    <w:tbl>
      <w:tblPr>
        <w:tblStyle w:val="TableGrid"/>
        <w:tblW w:w="10206" w:type="dxa"/>
        <w:tblInd w:w="-2" w:type="dxa"/>
        <w:tblCellMar>
          <w:top w:w="15" w:type="dxa"/>
          <w:left w:w="10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8"/>
        <w:gridCol w:w="568"/>
        <w:gridCol w:w="944"/>
        <w:gridCol w:w="2078"/>
        <w:gridCol w:w="2080"/>
        <w:gridCol w:w="854"/>
        <w:gridCol w:w="2290"/>
        <w:gridCol w:w="638"/>
        <w:gridCol w:w="476"/>
      </w:tblGrid>
      <w:tr w:rsidR="00962B7B">
        <w:trPr>
          <w:trHeight w:val="1114"/>
        </w:trPr>
        <w:tc>
          <w:tcPr>
            <w:tcW w:w="27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стояночного места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иметр</w:t>
            </w:r>
            <w:proofErr w:type="spellEnd"/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указывает в заявке конкретное значение характеристики</w:t>
            </w:r>
          </w:p>
        </w:tc>
        <w:tc>
          <w:tcPr>
            <w:tcW w:w="63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76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Ширина стояночного места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4000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Милл</w:t>
            </w:r>
            <w:proofErr w:type="spellEnd"/>
            <w:r>
              <w:t xml:space="preserve"> </w:t>
            </w:r>
            <w:proofErr w:type="spellStart"/>
            <w:r>
              <w:t>иметр</w:t>
            </w:r>
            <w:proofErr w:type="spellEnd"/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Оснащение основного причального понтона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Фонарные столбы с фонарями (типа шар)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все значения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Леерные</w:t>
            </w:r>
            <w:proofErr w:type="spellEnd"/>
            <w:r>
              <w:t xml:space="preserve"> ограждения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Кнехты парные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Молниеотводы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Пост </w:t>
            </w:r>
            <w:proofErr w:type="spellStart"/>
            <w:r>
              <w:t>безопастности</w:t>
            </w:r>
            <w:proofErr w:type="spellEnd"/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Пожарный щит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Привальные брусья (отбойники)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Габаритные огни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942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Количество фонарных столбов с фонарями (типа шар) основного причального понтона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6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Количество кнехтов парных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12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Количество молниеотводов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2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666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8" w:lineRule="auto"/>
              <w:ind w:left="1" w:firstLine="0"/>
              <w:jc w:val="left"/>
            </w:pPr>
            <w:r>
              <w:t xml:space="preserve">Количество привальных брусьев 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(отбойников) на одно стояночное место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2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Количество подходных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3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 xml:space="preserve">Участник закупки указывает в заявке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962B7B" w:rsidRDefault="00962B7B">
      <w:pPr>
        <w:spacing w:line="259" w:lineRule="auto"/>
        <w:ind w:left="-1136" w:right="1" w:firstLine="0"/>
        <w:jc w:val="left"/>
      </w:pPr>
    </w:p>
    <w:tbl>
      <w:tblPr>
        <w:tblStyle w:val="TableGrid"/>
        <w:tblW w:w="10206" w:type="dxa"/>
        <w:tblInd w:w="-2" w:type="dxa"/>
        <w:tblCellMar>
          <w:top w:w="15" w:type="dxa"/>
          <w:left w:w="10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8"/>
        <w:gridCol w:w="568"/>
        <w:gridCol w:w="943"/>
        <w:gridCol w:w="2078"/>
        <w:gridCol w:w="2083"/>
        <w:gridCol w:w="854"/>
        <w:gridCol w:w="2289"/>
        <w:gridCol w:w="637"/>
        <w:gridCol w:w="476"/>
      </w:tblGrid>
      <w:tr w:rsidR="00962B7B">
        <w:trPr>
          <w:trHeight w:val="838"/>
        </w:trPr>
        <w:tc>
          <w:tcPr>
            <w:tcW w:w="27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понтонов </w:t>
            </w:r>
            <w:proofErr w:type="spellStart"/>
            <w:r>
              <w:t>грузоподъемност</w:t>
            </w:r>
            <w:proofErr w:type="spellEnd"/>
            <w:r>
              <w:t xml:space="preserve"> </w:t>
            </w:r>
            <w:proofErr w:type="spellStart"/>
            <w:r>
              <w:t>ью</w:t>
            </w:r>
            <w:proofErr w:type="spellEnd"/>
            <w:r>
              <w:t xml:space="preserve"> от 800 кг.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конкретное значение характеристики</w:t>
            </w:r>
          </w:p>
        </w:tc>
        <w:tc>
          <w:tcPr>
            <w:tcW w:w="63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76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Количество подходных понтонов </w:t>
            </w:r>
            <w:proofErr w:type="spellStart"/>
            <w:r>
              <w:t>грузоподъемност</w:t>
            </w:r>
            <w:proofErr w:type="spellEnd"/>
            <w:r>
              <w:t xml:space="preserve"> </w:t>
            </w:r>
            <w:proofErr w:type="spellStart"/>
            <w:r>
              <w:t>ью</w:t>
            </w:r>
            <w:proofErr w:type="spellEnd"/>
            <w:r>
              <w:t xml:space="preserve"> от 1000 кг.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1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942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8" w:lineRule="auto"/>
              <w:ind w:left="1" w:firstLine="0"/>
              <w:jc w:val="left"/>
            </w:pPr>
            <w:r>
              <w:t xml:space="preserve">Количество фонарных столбов с фонарями (типа 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шар) на проходных понтонах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6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Трап металлический с ограждениями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Наличие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Соединение между понтонами металлическое шарнирное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Соответствие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  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Леерное</w:t>
            </w:r>
            <w:proofErr w:type="spellEnd"/>
            <w:r>
              <w:t xml:space="preserve"> ограждение по периметру всего комплекса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Наличие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Высота </w:t>
            </w:r>
            <w:proofErr w:type="spellStart"/>
            <w:r>
              <w:t>леерного</w:t>
            </w:r>
            <w:proofErr w:type="spellEnd"/>
            <w:r>
              <w:t xml:space="preserve"> ограждения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1100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Милл</w:t>
            </w:r>
            <w:proofErr w:type="spellEnd"/>
            <w:r>
              <w:t xml:space="preserve"> </w:t>
            </w:r>
            <w:proofErr w:type="spellStart"/>
            <w:r>
              <w:t>иметр</w:t>
            </w:r>
            <w:proofErr w:type="spellEnd"/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Материал поплавков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Труба ПНД D500 мм </w:t>
            </w:r>
            <w:proofErr w:type="spellStart"/>
            <w:r>
              <w:t>sdr</w:t>
            </w:r>
            <w:proofErr w:type="spellEnd"/>
            <w:r>
              <w:t xml:space="preserve"> 33 (с сертификатом одобрения РКО)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Материал каркаса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38" w:lineRule="auto"/>
              <w:ind w:left="1" w:firstLine="0"/>
              <w:jc w:val="left"/>
            </w:pPr>
            <w:r>
              <w:t xml:space="preserve">Метал </w:t>
            </w:r>
            <w:proofErr w:type="spellStart"/>
            <w:r>
              <w:t>судостроительны</w:t>
            </w:r>
            <w:proofErr w:type="spellEnd"/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й (с 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сертификатом одобрения РКО)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Настил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Древесина хвойных пород с </w:t>
            </w:r>
            <w:proofErr w:type="spellStart"/>
            <w:r>
              <w:t>антибактериально</w:t>
            </w:r>
            <w:proofErr w:type="spellEnd"/>
            <w:r>
              <w:t xml:space="preserve"> й защитой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Бетонный якорь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2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Штук</w:t>
            </w:r>
          </w:p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а</w:t>
            </w: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 xml:space="preserve">Участник закупки указывает в заявке конкретное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562"/>
        </w:trPr>
        <w:tc>
          <w:tcPr>
            <w:tcW w:w="27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значение характеристики</w:t>
            </w:r>
          </w:p>
        </w:tc>
        <w:tc>
          <w:tcPr>
            <w:tcW w:w="63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76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 xml:space="preserve">Вес бетонного якоря </w:t>
            </w:r>
          </w:p>
        </w:tc>
        <w:tc>
          <w:tcPr>
            <w:tcW w:w="2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t>≥ 500</w:t>
            </w:r>
          </w:p>
        </w:tc>
        <w:tc>
          <w:tcPr>
            <w:tcW w:w="8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t>Килог</w:t>
            </w:r>
            <w:proofErr w:type="spellEnd"/>
            <w:r>
              <w:t xml:space="preserve"> </w:t>
            </w:r>
            <w:proofErr w:type="spellStart"/>
            <w:r>
              <w:t>рамм</w:t>
            </w:r>
            <w:proofErr w:type="spellEnd"/>
          </w:p>
        </w:tc>
        <w:tc>
          <w:tcPr>
            <w:tcW w:w="2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962B7B" w:rsidRDefault="005A7587">
      <w:pPr>
        <w:spacing w:line="238" w:lineRule="auto"/>
        <w:ind w:left="0" w:right="-9" w:firstLine="567"/>
        <w:jc w:val="left"/>
      </w:pPr>
      <w:r>
        <w:t>Инструкция по заполнению характеристик в заявке в полном объёме приведена в приложении № 3 «Требования к содержанию, составу заявки на участие в закупке и инструкция по её заполнению».</w:t>
      </w:r>
    </w:p>
    <w:p w:rsidR="00962B7B" w:rsidRDefault="005A7587">
      <w:pPr>
        <w:ind w:left="0" w:right="2"/>
      </w:pPr>
      <w:r>
        <w:t xml:space="preserve">Структурированная форма </w:t>
      </w:r>
      <w:proofErr w:type="gramStart"/>
      <w:r>
        <w:t>извещения  содержит</w:t>
      </w:r>
      <w:proofErr w:type="gramEnd"/>
      <w:r>
        <w:t xml:space="preserve"> следующие характеристики по</w:t>
      </w:r>
      <w:r>
        <w:t xml:space="preserve">ставляемого товара: </w:t>
      </w:r>
    </w:p>
    <w:tbl>
      <w:tblPr>
        <w:tblStyle w:val="TableGrid"/>
        <w:tblW w:w="10052" w:type="dxa"/>
        <w:tblInd w:w="-2" w:type="dxa"/>
        <w:tblCellMar>
          <w:top w:w="15" w:type="dxa"/>
          <w:left w:w="76" w:type="dxa"/>
          <w:bottom w:w="0" w:type="dxa"/>
          <w:right w:w="83" w:type="dxa"/>
        </w:tblCellMar>
        <w:tblLook w:val="04A0" w:firstRow="1" w:lastRow="0" w:firstColumn="1" w:lastColumn="0" w:noHBand="0" w:noVBand="1"/>
      </w:tblPr>
      <w:tblGrid>
        <w:gridCol w:w="2848"/>
        <w:gridCol w:w="2510"/>
        <w:gridCol w:w="2088"/>
        <w:gridCol w:w="2606"/>
      </w:tblGrid>
      <w:tr w:rsidR="00962B7B">
        <w:trPr>
          <w:trHeight w:val="418"/>
        </w:trPr>
        <w:tc>
          <w:tcPr>
            <w:tcW w:w="100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7" w:firstLine="0"/>
              <w:jc w:val="center"/>
            </w:pPr>
            <w:r>
              <w:rPr>
                <w:sz w:val="22"/>
              </w:rPr>
              <w:t xml:space="preserve">Характеристики товара, работы, услуги </w:t>
            </w:r>
            <w:proofErr w:type="gramStart"/>
            <w:r>
              <w:rPr>
                <w:sz w:val="22"/>
              </w:rPr>
              <w:t>( Причальный</w:t>
            </w:r>
            <w:proofErr w:type="gramEnd"/>
            <w:r>
              <w:rPr>
                <w:sz w:val="22"/>
              </w:rPr>
              <w:t xml:space="preserve"> понтонный комплекс )</w:t>
            </w:r>
          </w:p>
        </w:tc>
      </w:tr>
      <w:tr w:rsidR="00962B7B">
        <w:trPr>
          <w:trHeight w:val="924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Наименование характеристики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4" w:right="7" w:firstLine="0"/>
              <w:jc w:val="center"/>
            </w:pPr>
            <w:r>
              <w:rPr>
                <w:sz w:val="22"/>
              </w:rPr>
              <w:t>Значение характеристики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Единица измерения характеристики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Инструкция по заполнению</w:t>
            </w:r>
          </w:p>
          <w:p w:rsidR="00962B7B" w:rsidRDefault="005A7587">
            <w:pPr>
              <w:spacing w:line="259" w:lineRule="auto"/>
              <w:ind w:left="90" w:firstLine="0"/>
              <w:jc w:val="left"/>
            </w:pPr>
            <w:r>
              <w:rPr>
                <w:sz w:val="22"/>
              </w:rPr>
              <w:t>характеристики в заявке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Основной причальный понтон Ш-образной формы, состоит из отдельных понтонов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Соответствие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Вес бетонного якоря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500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8" w:firstLine="0"/>
              <w:jc w:val="center"/>
            </w:pPr>
            <w:r>
              <w:rPr>
                <w:sz w:val="22"/>
              </w:rPr>
              <w:t>Килограмм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Ширина основного причального понтона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14000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8" w:firstLine="0"/>
              <w:jc w:val="center"/>
            </w:pPr>
            <w:r>
              <w:rPr>
                <w:sz w:val="22"/>
              </w:rPr>
              <w:t>Миллиметр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850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стояночных мест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2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8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84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причальных пальцев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3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8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Длина стояночного места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9000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8" w:firstLine="0"/>
              <w:jc w:val="center"/>
            </w:pPr>
            <w:r>
              <w:rPr>
                <w:sz w:val="22"/>
              </w:rPr>
              <w:t>Миллиметр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Ширина стояночного места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4000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8" w:firstLine="0"/>
              <w:jc w:val="center"/>
            </w:pPr>
            <w:r>
              <w:rPr>
                <w:sz w:val="22"/>
              </w:rPr>
              <w:t>Миллиметр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596"/>
        </w:trPr>
        <w:tc>
          <w:tcPr>
            <w:tcW w:w="28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Оснащение основного причального понтона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Фонарные столбы с фонарями (типа шар)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10"/>
              <w:jc w:val="center"/>
            </w:pPr>
            <w:r>
              <w:rPr>
                <w:sz w:val="22"/>
              </w:rPr>
              <w:t>Участник закупки указывает в заявке все значения характеристики</w:t>
            </w:r>
          </w:p>
        </w:tc>
      </w:tr>
      <w:tr w:rsidR="00962B7B">
        <w:trPr>
          <w:trHeight w:val="3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sz w:val="22"/>
              </w:rPr>
              <w:t>Леерные</w:t>
            </w:r>
            <w:proofErr w:type="spellEnd"/>
            <w:r>
              <w:rPr>
                <w:sz w:val="22"/>
              </w:rPr>
              <w:t xml:space="preserve"> ограждения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Кнехты парные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3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Молниеотводы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962B7B" w:rsidRDefault="00962B7B">
      <w:pPr>
        <w:spacing w:line="259" w:lineRule="auto"/>
        <w:ind w:left="-1136" w:right="155" w:firstLine="0"/>
        <w:jc w:val="left"/>
      </w:pPr>
    </w:p>
    <w:tbl>
      <w:tblPr>
        <w:tblStyle w:val="TableGrid"/>
        <w:tblW w:w="10052" w:type="dxa"/>
        <w:tblInd w:w="-2" w:type="dxa"/>
        <w:tblCellMar>
          <w:top w:w="15" w:type="dxa"/>
          <w:left w:w="76" w:type="dxa"/>
          <w:bottom w:w="0" w:type="dxa"/>
          <w:right w:w="85" w:type="dxa"/>
        </w:tblCellMar>
        <w:tblLook w:val="04A0" w:firstRow="1" w:lastRow="0" w:firstColumn="1" w:lastColumn="0" w:noHBand="0" w:noVBand="1"/>
      </w:tblPr>
      <w:tblGrid>
        <w:gridCol w:w="2848"/>
        <w:gridCol w:w="2510"/>
        <w:gridCol w:w="2088"/>
        <w:gridCol w:w="2606"/>
      </w:tblGrid>
      <w:tr w:rsidR="00962B7B">
        <w:trPr>
          <w:trHeight w:val="344"/>
        </w:trPr>
        <w:tc>
          <w:tcPr>
            <w:tcW w:w="28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 xml:space="preserve">Пост </w:t>
            </w:r>
            <w:proofErr w:type="spellStart"/>
            <w:r>
              <w:rPr>
                <w:sz w:val="22"/>
              </w:rPr>
              <w:t>безопастности</w:t>
            </w:r>
            <w:proofErr w:type="spellEnd"/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Пожарный щит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59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Привальные брусья (отбойники)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3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Габаритные огни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фонарных столбов с фонарями (типа шар) основного причального понтона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6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кнехтов парных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12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молниеотводов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2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привальных брусьев (отбойников) на одно стояночное место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2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подходных понтонов грузоподъемностью от 800 кг.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3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подходных понтонов грузоподъемностью от 1000 кг.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1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Количество фонарных столбов с фонарями (типа шар) на проходных понтонах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6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84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Трап металлический с ограждениями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Наличие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850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Соединение между понтонами металлическое шарнирное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Соответствие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84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proofErr w:type="spellStart"/>
            <w:r>
              <w:rPr>
                <w:sz w:val="22"/>
              </w:rPr>
              <w:t>Леерное</w:t>
            </w:r>
            <w:proofErr w:type="spellEnd"/>
            <w:r>
              <w:rPr>
                <w:sz w:val="22"/>
              </w:rPr>
              <w:t xml:space="preserve"> ограждение по периметру всего комплекса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Наличие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 xml:space="preserve">Высота </w:t>
            </w:r>
            <w:proofErr w:type="spellStart"/>
            <w:r>
              <w:rPr>
                <w:sz w:val="22"/>
              </w:rPr>
              <w:t>леерного</w:t>
            </w:r>
            <w:proofErr w:type="spellEnd"/>
            <w:r>
              <w:rPr>
                <w:sz w:val="22"/>
              </w:rPr>
              <w:t xml:space="preserve"> ограждения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1100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Миллиметр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344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Материал поплавков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</w:pPr>
            <w:r>
              <w:rPr>
                <w:sz w:val="22"/>
              </w:rPr>
              <w:t xml:space="preserve">Труба ПНД D500 мм </w:t>
            </w:r>
            <w:proofErr w:type="spellStart"/>
            <w:r>
              <w:rPr>
                <w:sz w:val="22"/>
              </w:rPr>
              <w:t>sdr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35" w:firstLine="0"/>
              <w:jc w:val="left"/>
            </w:pPr>
            <w:r>
              <w:rPr>
                <w:sz w:val="22"/>
              </w:rPr>
              <w:t>Значение характеристики</w:t>
            </w:r>
          </w:p>
        </w:tc>
      </w:tr>
      <w:tr w:rsidR="00962B7B">
        <w:trPr>
          <w:trHeight w:val="596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33 (с сертификатом одобрения РКО)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не может изменяться</w:t>
            </w:r>
          </w:p>
          <w:p w:rsidR="00962B7B" w:rsidRDefault="005A7587">
            <w:pPr>
              <w:spacing w:line="259" w:lineRule="auto"/>
              <w:ind w:left="11" w:firstLine="0"/>
              <w:jc w:val="center"/>
            </w:pPr>
            <w:r>
              <w:rPr>
                <w:sz w:val="22"/>
              </w:rPr>
              <w:t>участником закупки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Материал каркаса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Метал судостроительный (с сертификатом одобрения РКО)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Настил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Древесина хвойных пород с антибактериальной защитой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962B7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9" w:hanging="19"/>
              <w:jc w:val="center"/>
            </w:pPr>
            <w:r>
              <w:rPr>
                <w:sz w:val="22"/>
              </w:rPr>
              <w:t>Значение характеристики не может изменяться участником закупки</w:t>
            </w:r>
          </w:p>
        </w:tc>
      </w:tr>
      <w:tr w:rsidR="00962B7B">
        <w:trPr>
          <w:trHeight w:val="1102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Бетонный якорь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2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2" w:firstLine="0"/>
              <w:jc w:val="center"/>
            </w:pPr>
            <w:r>
              <w:rPr>
                <w:sz w:val="22"/>
              </w:rPr>
              <w:t>Штука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  <w:tr w:rsidR="00962B7B">
        <w:trPr>
          <w:trHeight w:val="1484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" w:firstLine="0"/>
              <w:jc w:val="left"/>
            </w:pPr>
            <w:r>
              <w:rPr>
                <w:sz w:val="22"/>
              </w:rPr>
              <w:t>Длина основного причального понтона</w:t>
            </w:r>
          </w:p>
        </w:tc>
        <w:tc>
          <w:tcPr>
            <w:tcW w:w="2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≥ 16000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59" w:lineRule="auto"/>
              <w:ind w:left="12" w:firstLine="0"/>
              <w:jc w:val="center"/>
            </w:pPr>
            <w:r>
              <w:rPr>
                <w:sz w:val="22"/>
              </w:rPr>
              <w:t>Миллиметр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2B7B" w:rsidRDefault="005A7587">
            <w:pPr>
              <w:spacing w:line="238" w:lineRule="auto"/>
              <w:ind w:left="0" w:firstLine="0"/>
              <w:jc w:val="center"/>
            </w:pPr>
            <w:r>
              <w:rPr>
                <w:sz w:val="22"/>
              </w:rPr>
              <w:t>Участник закупки указывает в заявке</w:t>
            </w:r>
          </w:p>
          <w:p w:rsidR="00962B7B" w:rsidRDefault="005A7587">
            <w:pPr>
              <w:spacing w:line="259" w:lineRule="auto"/>
              <w:ind w:left="0" w:firstLine="0"/>
              <w:jc w:val="center"/>
            </w:pPr>
            <w:r>
              <w:rPr>
                <w:sz w:val="22"/>
              </w:rPr>
              <w:t>конкретное значение характеристики</w:t>
            </w:r>
          </w:p>
        </w:tc>
      </w:tr>
    </w:tbl>
    <w:p w:rsidR="00962B7B" w:rsidRDefault="005A7587">
      <w:pPr>
        <w:ind w:left="709" w:right="2" w:firstLine="0"/>
      </w:pPr>
      <w:r>
        <w:t xml:space="preserve">Согласно структурированной форме извещения Заказчиком, в частности, предусмотрено: </w:t>
      </w:r>
    </w:p>
    <w:p w:rsidR="00962B7B" w:rsidRDefault="005A7587">
      <w:pPr>
        <w:numPr>
          <w:ilvl w:val="0"/>
          <w:numId w:val="3"/>
        </w:numPr>
        <w:ind w:right="2"/>
      </w:pPr>
      <w:r>
        <w:t xml:space="preserve">наличие трапа металлического с ограждениями; </w:t>
      </w:r>
    </w:p>
    <w:p w:rsidR="00962B7B" w:rsidRDefault="005A7587">
      <w:pPr>
        <w:numPr>
          <w:ilvl w:val="0"/>
          <w:numId w:val="3"/>
        </w:numPr>
        <w:ind w:right="2"/>
      </w:pPr>
      <w:r>
        <w:t xml:space="preserve">количество привальных брусьев (отбойников) на одно стояночное место, ≥ 2 </w:t>
      </w:r>
      <w:proofErr w:type="gramStart"/>
      <w:r>
        <w:t>штук;-</w:t>
      </w:r>
      <w:proofErr w:type="gramEnd"/>
      <w:r>
        <w:t xml:space="preserve"> количество фонарных столбов с фонарями (типа шар) на проходных понтонах, ≥ 6, штук.</w:t>
      </w:r>
    </w:p>
    <w:p w:rsidR="00962B7B" w:rsidRDefault="005A7587">
      <w:pPr>
        <w:ind w:left="0" w:right="2"/>
      </w:pPr>
      <w:r>
        <w:t xml:space="preserve">При этом в спецификации (приложение а проекту </w:t>
      </w:r>
      <w:r>
        <w:t xml:space="preserve">контракта) </w:t>
      </w:r>
      <w:proofErr w:type="gramStart"/>
      <w:r>
        <w:t>предусмотрено  следующее</w:t>
      </w:r>
      <w:proofErr w:type="gramEnd"/>
      <w:r>
        <w:t>:  - для перехода на берег предусмотреть снабжение причала сходней марки Трапы-сходни судовые ТУ 28.99.39-005-2002188823-2024 (п. 3.7 Сходный трап);</w:t>
      </w:r>
    </w:p>
    <w:p w:rsidR="00962B7B" w:rsidRDefault="005A7587">
      <w:pPr>
        <w:ind w:left="0" w:right="2"/>
      </w:pPr>
      <w:r>
        <w:t>-для швартовки МС к причалу предусмотреть швартовные кнехты. (Кнехты ста</w:t>
      </w:r>
      <w:r>
        <w:t>льные сварные ТУ 28.99.39-001-2002188823-2024). С рабочей стороны причальных карманов установить резиновый цельнолитой привальный брус (или похожий по типу аналог) (п. 3.11 Швартовные устройства и привальный брус);</w:t>
      </w:r>
    </w:p>
    <w:p w:rsidR="00962B7B" w:rsidRDefault="005A7587">
      <w:pPr>
        <w:numPr>
          <w:ilvl w:val="0"/>
          <w:numId w:val="3"/>
        </w:numPr>
        <w:ind w:right="2"/>
      </w:pPr>
      <w:r>
        <w:t xml:space="preserve">снабжение причала белым круговым фонарем </w:t>
      </w:r>
      <w:r>
        <w:t xml:space="preserve">с питанием от щелочной батареи </w:t>
      </w:r>
      <w:proofErr w:type="spellStart"/>
      <w:proofErr w:type="gramStart"/>
      <w:r>
        <w:t>типа«</w:t>
      </w:r>
      <w:proofErr w:type="gramEnd"/>
      <w:r>
        <w:t>Лиман</w:t>
      </w:r>
      <w:proofErr w:type="spellEnd"/>
      <w:r>
        <w:t>»/ или аналог (3.8 Сигнально-отличительные фонари).</w:t>
      </w:r>
    </w:p>
    <w:p w:rsidR="00962B7B" w:rsidRDefault="005A7587">
      <w:pPr>
        <w:ind w:left="0" w:right="2"/>
      </w:pPr>
      <w:r>
        <w:t>Аналогичные спецификации требования к товару содержатся в описании объекта закупки (Приложение № 1 к Извещению).</w:t>
      </w:r>
    </w:p>
    <w:p w:rsidR="00962B7B" w:rsidRDefault="005A7587">
      <w:pPr>
        <w:ind w:left="0" w:right="2"/>
      </w:pPr>
      <w:r>
        <w:t>При этом в структурированной форме извещения отсут</w:t>
      </w:r>
      <w:r>
        <w:t>ствуют характеристики, которые содержатся в описании объекта закупки (приложение № 1 и в спецификации проекта контракта).</w:t>
      </w:r>
    </w:p>
    <w:p w:rsidR="00962B7B" w:rsidRDefault="005A7587">
      <w:pPr>
        <w:ind w:left="0" w:right="2"/>
      </w:pPr>
      <w:r>
        <w:t>Представители Заказчика на заседании Комиссии не смогли пояснить установленное и Извещении требование о соответствии ТУ 28.99.39-005-2</w:t>
      </w:r>
      <w:r>
        <w:t>002188823-2024 по п. 3.7 Сходный трап, Кнехт стальных сварных (п. 3.11 Швартовные устройства и привальный брус).</w:t>
      </w:r>
    </w:p>
    <w:p w:rsidR="00962B7B" w:rsidRDefault="005A7587">
      <w:pPr>
        <w:ind w:left="0" w:right="2"/>
      </w:pPr>
      <w:r>
        <w:t xml:space="preserve">Поскольку технические условия могут определяться отдельным производителем, это может привести к ограничению количества участников закупки, что </w:t>
      </w:r>
      <w:r>
        <w:t>не соответствует установленным пунктом 1 части 1 статьи 33 Закона о контрактной системе.</w:t>
      </w:r>
    </w:p>
    <w:p w:rsidR="00962B7B" w:rsidRDefault="005A7587">
      <w:pPr>
        <w:ind w:left="0" w:right="2"/>
      </w:pPr>
      <w:r>
        <w:t xml:space="preserve">Исходя из условия, которое содержится в приложении № 3 к Извещению об осуществлении закупки «Требования к содержанию, составу заявки на участие в закупке и инструкция </w:t>
      </w:r>
      <w:r>
        <w:t xml:space="preserve">по ее заполнению», указанная выше информация, указанная в Приложении № 1 к Извещению об осуществлении закупки «Описание объекта закупки» в табличной части (за исключением информации о количестве товара) относится к характеристикам, предусмотренным пунктом </w:t>
      </w:r>
      <w:r>
        <w:t>1 части 1 статьи 33 Закона о контрактной системе.</w:t>
      </w:r>
    </w:p>
    <w:p w:rsidR="00962B7B" w:rsidRDefault="005A7587">
      <w:pPr>
        <w:ind w:left="0" w:right="2"/>
      </w:pPr>
      <w:r>
        <w:t xml:space="preserve">В связи с изложенным, описание объекта закупки, изложенное в извещении, в проекте контракта (спецификации) и в структурированной форме извещения, противоречива, что не отвечает требованиям </w:t>
      </w:r>
      <w:proofErr w:type="spellStart"/>
      <w:r>
        <w:t>ч.ч</w:t>
      </w:r>
      <w:proofErr w:type="spellEnd"/>
      <w:r>
        <w:t xml:space="preserve">. 1, 2 ст. 33 </w:t>
      </w:r>
      <w:r>
        <w:t xml:space="preserve">Закона о контрактной системе, поскольку нельзя определить соответствие закупаемых товара установленным заказчиком требованиям. </w:t>
      </w:r>
    </w:p>
    <w:p w:rsidR="00962B7B" w:rsidRDefault="005A7587">
      <w:pPr>
        <w:ind w:left="0" w:right="2" w:firstLine="567"/>
      </w:pPr>
      <w:r>
        <w:t>В описании объекта закупки (приложение № 1) содержатся условия, указывающие на необходимость изготовления причального понтонного</w:t>
      </w:r>
      <w:r>
        <w:t xml:space="preserve"> комплекса.</w:t>
      </w:r>
    </w:p>
    <w:p w:rsidR="00962B7B" w:rsidRDefault="005A7587">
      <w:pPr>
        <w:ind w:left="567" w:right="2" w:firstLine="0"/>
      </w:pPr>
      <w:r>
        <w:t>Так, например, указано, что:</w:t>
      </w:r>
    </w:p>
    <w:p w:rsidR="00962B7B" w:rsidRDefault="005A7587">
      <w:pPr>
        <w:numPr>
          <w:ilvl w:val="0"/>
          <w:numId w:val="4"/>
        </w:numPr>
        <w:ind w:right="2"/>
      </w:pPr>
      <w:r>
        <w:t xml:space="preserve">технический проект и рабочая документация, в соответствии с которыми </w:t>
      </w:r>
      <w:proofErr w:type="spellStart"/>
      <w:r>
        <w:t>изготавливаетсяпричал</w:t>
      </w:r>
      <w:proofErr w:type="spellEnd"/>
      <w:r>
        <w:t xml:space="preserve"> должны иметь согласование Российского классификационного общества (далее - РКО), изготовление причала осуществляется под техническим наблюдением экспертов филиала РК</w:t>
      </w:r>
      <w:r>
        <w:t>О</w:t>
      </w:r>
    </w:p>
    <w:p w:rsidR="00962B7B" w:rsidRDefault="005A7587">
      <w:pPr>
        <w:ind w:left="0" w:right="2" w:firstLine="0"/>
      </w:pPr>
      <w:r>
        <w:t xml:space="preserve">(п. 2.2); </w:t>
      </w:r>
    </w:p>
    <w:p w:rsidR="00962B7B" w:rsidRDefault="005A7587">
      <w:pPr>
        <w:numPr>
          <w:ilvl w:val="0"/>
          <w:numId w:val="4"/>
        </w:numPr>
        <w:ind w:right="2"/>
      </w:pPr>
      <w:r>
        <w:t xml:space="preserve">все поставляемые конструктивные элементы, оборудование, комплектующие и </w:t>
      </w:r>
      <w:proofErr w:type="spellStart"/>
      <w:r>
        <w:t>материалыиз</w:t>
      </w:r>
      <w:proofErr w:type="spellEnd"/>
      <w:r>
        <w:t xml:space="preserve"> которых осуществляется изготовление поставляемого причала, должны быть новыми, ранее не находившимся в эксплуатации у Поставщика и (или) третьих лиц (п. 2.3.);</w:t>
      </w:r>
    </w:p>
    <w:p w:rsidR="00962B7B" w:rsidRDefault="005A7587">
      <w:pPr>
        <w:numPr>
          <w:ilvl w:val="0"/>
          <w:numId w:val="4"/>
        </w:numPr>
        <w:ind w:right="2"/>
      </w:pPr>
      <w:r>
        <w:t xml:space="preserve">осушение сухих отсеков производится силами и средствами экипажа </w:t>
      </w:r>
      <w:proofErr w:type="spellStart"/>
      <w:r>
        <w:t>швартующегосясудна</w:t>
      </w:r>
      <w:proofErr w:type="spellEnd"/>
      <w:r>
        <w:t xml:space="preserve"> (п.10.7.8 часть IV ПКПС) (п. 2.8);</w:t>
      </w:r>
    </w:p>
    <w:p w:rsidR="00962B7B" w:rsidRDefault="005A7587">
      <w:pPr>
        <w:numPr>
          <w:ilvl w:val="0"/>
          <w:numId w:val="4"/>
        </w:numPr>
        <w:ind w:right="2"/>
      </w:pPr>
      <w:r>
        <w:t xml:space="preserve">окраска поверхностей корпуса металлической рамы (каркаса), лееров </w:t>
      </w:r>
      <w:proofErr w:type="spellStart"/>
      <w:proofErr w:type="gramStart"/>
      <w:r>
        <w:t>безопасности,деревянного</w:t>
      </w:r>
      <w:proofErr w:type="spellEnd"/>
      <w:proofErr w:type="gramEnd"/>
      <w:r>
        <w:t xml:space="preserve"> настила палубы, выполняется лакокрасочными мат</w:t>
      </w:r>
      <w:r>
        <w:t>ериалами по одобренной РКО схеме. Цвет по согласованию с заказчиком. (п. 2.9.);</w:t>
      </w:r>
    </w:p>
    <w:p w:rsidR="00962B7B" w:rsidRDefault="005A7587">
      <w:pPr>
        <w:numPr>
          <w:ilvl w:val="0"/>
          <w:numId w:val="4"/>
        </w:numPr>
        <w:ind w:right="2"/>
      </w:pPr>
      <w:r>
        <w:t xml:space="preserve">освещение причала осуществляется направленными фонарями с берега. </w:t>
      </w:r>
      <w:proofErr w:type="spellStart"/>
      <w:r>
        <w:t>Проектированиеосвещения</w:t>
      </w:r>
      <w:proofErr w:type="spellEnd"/>
      <w:r>
        <w:t xml:space="preserve"> с берега в проект не входит (3.14.). </w:t>
      </w:r>
    </w:p>
    <w:p w:rsidR="00962B7B" w:rsidRDefault="005A7587">
      <w:pPr>
        <w:ind w:left="0" w:right="2"/>
      </w:pPr>
      <w:r>
        <w:t>Указанные условия, по мнению Комиссии, не соотно</w:t>
      </w:r>
      <w:r>
        <w:t xml:space="preserve">сится с предметом торгов, которым является поставка товара, и не позволяют установить соответствие закупаемого товара установленным заказчиком требованиям, что не отвечает требованиям ч. 2 ст. 33 Закона о контрактной системе. </w:t>
      </w:r>
    </w:p>
    <w:p w:rsidR="00962B7B" w:rsidRDefault="005A7587">
      <w:pPr>
        <w:ind w:left="0" w:right="2"/>
      </w:pPr>
      <w:r>
        <w:t>При условии, что контракт сог</w:t>
      </w:r>
      <w:r>
        <w:t xml:space="preserve">ласно требований ч. 1 ст. 34 Закона о контрактной системе заключается на условиях, предусмотренных извещением об осуществлении закупки, нарушения в части описания объекта закупки может привести к </w:t>
      </w:r>
      <w:proofErr w:type="spellStart"/>
      <w:r>
        <w:t>недостижению</w:t>
      </w:r>
      <w:proofErr w:type="spellEnd"/>
      <w:r>
        <w:t xml:space="preserve"> результатов закупки. </w:t>
      </w:r>
    </w:p>
    <w:p w:rsidR="00962B7B" w:rsidRDefault="005A7587">
      <w:pPr>
        <w:spacing w:after="626"/>
        <w:ind w:left="0" w:right="2"/>
      </w:pPr>
      <w:r>
        <w:t>Учитывая вышеизложенное и</w:t>
      </w:r>
      <w:r>
        <w:t xml:space="preserve">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</w:t>
      </w:r>
    </w:p>
    <w:p w:rsidR="00962B7B" w:rsidRDefault="005A7587">
      <w:pPr>
        <w:spacing w:after="328" w:line="259" w:lineRule="auto"/>
        <w:ind w:left="709" w:firstLine="0"/>
        <w:jc w:val="center"/>
      </w:pPr>
      <w:r>
        <w:rPr>
          <w:b/>
          <w:sz w:val="28"/>
        </w:rPr>
        <w:t>Р Е Ш И Л А:</w:t>
      </w:r>
    </w:p>
    <w:p w:rsidR="00962B7B" w:rsidRDefault="005A7587">
      <w:pPr>
        <w:numPr>
          <w:ilvl w:val="0"/>
          <w:numId w:val="5"/>
        </w:numPr>
        <w:ind w:right="2"/>
      </w:pPr>
      <w:r>
        <w:t xml:space="preserve">Признать жалобу ООО </w:t>
      </w:r>
      <w:r>
        <w:t>«</w:t>
      </w:r>
      <w:proofErr w:type="spellStart"/>
      <w:r>
        <w:t>Бирит</w:t>
      </w:r>
      <w:proofErr w:type="spellEnd"/>
      <w:r>
        <w:t>» на действия Департамента Гагаринского Административного района МО «Город Саратов» при проведении электронного аукциона № 0160600005026000064 «Поставка и установка причального понтонного комплекса» обоснованной.</w:t>
      </w:r>
    </w:p>
    <w:p w:rsidR="00962B7B" w:rsidRDefault="005A7587">
      <w:pPr>
        <w:numPr>
          <w:ilvl w:val="0"/>
          <w:numId w:val="5"/>
        </w:numPr>
        <w:ind w:right="2"/>
      </w:pPr>
      <w:r>
        <w:t>Признать в действиях Заказчика наруше</w:t>
      </w:r>
      <w:r>
        <w:t xml:space="preserve">ние требований ч. 9 ст. 31, </w:t>
      </w:r>
      <w:proofErr w:type="spellStart"/>
      <w:r>
        <w:t>ч.ч</w:t>
      </w:r>
      <w:proofErr w:type="spellEnd"/>
      <w:r>
        <w:t>. 1, 2 ст. 33 Закона о контрактной системе.</w:t>
      </w:r>
    </w:p>
    <w:p w:rsidR="00962B7B" w:rsidRDefault="005A7587">
      <w:pPr>
        <w:numPr>
          <w:ilvl w:val="0"/>
          <w:numId w:val="5"/>
        </w:numPr>
        <w:ind w:right="2"/>
      </w:pPr>
      <w:r>
        <w:t>Выдать предписание об устранении допущенных нарушений.</w:t>
      </w:r>
    </w:p>
    <w:p w:rsidR="00962B7B" w:rsidRDefault="005A7587">
      <w:pPr>
        <w:numPr>
          <w:ilvl w:val="0"/>
          <w:numId w:val="5"/>
        </w:numPr>
        <w:spacing w:after="541"/>
        <w:ind w:right="2"/>
      </w:pPr>
      <w:r>
        <w:t>Передать материалы жалобы уполномоченному должностному лицу Саратовского УФАС России для рассмотрения вопроса о возбуждении де</w:t>
      </w:r>
      <w:r>
        <w:t>ла об административном правонарушении.</w:t>
      </w:r>
    </w:p>
    <w:p w:rsidR="00962B7B" w:rsidRDefault="005A7587">
      <w:pPr>
        <w:spacing w:line="259" w:lineRule="auto"/>
        <w:ind w:left="0" w:right="12" w:firstLine="0"/>
        <w:jc w:val="right"/>
      </w:pPr>
      <w:r>
        <w:rPr>
          <w:i/>
        </w:rPr>
        <w:t>Настоящее решение может быть обжаловано в судебном порядке в течение трех месяцев</w:t>
      </w:r>
    </w:p>
    <w:p w:rsidR="00962B7B" w:rsidRDefault="005A7587">
      <w:pPr>
        <w:spacing w:after="650" w:line="238" w:lineRule="auto"/>
        <w:ind w:left="-5" w:hanging="10"/>
        <w:jc w:val="left"/>
      </w:pPr>
      <w:r>
        <w:rPr>
          <w:i/>
        </w:rPr>
        <w:t>с даты его принятия.</w:t>
      </w:r>
    </w:p>
    <w:p w:rsidR="00962B7B" w:rsidRDefault="00962B7B">
      <w:pPr>
        <w:spacing w:line="238" w:lineRule="auto"/>
        <w:ind w:left="0" w:right="7519" w:firstLine="0"/>
        <w:jc w:val="left"/>
      </w:pPr>
      <w:bookmarkStart w:id="0" w:name="_GoBack"/>
      <w:bookmarkEnd w:id="0"/>
    </w:p>
    <w:sectPr w:rsidR="00962B7B">
      <w:footerReference w:type="even" r:id="rId7"/>
      <w:footerReference w:type="default" r:id="rId8"/>
      <w:footerReference w:type="first" r:id="rId9"/>
      <w:pgSz w:w="11906" w:h="16838"/>
      <w:pgMar w:top="1139" w:right="565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A7587">
      <w:pPr>
        <w:spacing w:line="240" w:lineRule="auto"/>
      </w:pPr>
      <w:r>
        <w:separator/>
      </w:r>
    </w:p>
  </w:endnote>
  <w:endnote w:type="continuationSeparator" w:id="0">
    <w:p w:rsidR="00000000" w:rsidRDefault="005A75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B7B" w:rsidRDefault="005A7587">
    <w:pPr>
      <w:spacing w:line="259" w:lineRule="auto"/>
      <w:ind w:left="0" w:firstLine="0"/>
      <w:jc w:val="left"/>
    </w:pPr>
    <w:r>
      <w:t>2026-4749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B7B" w:rsidRDefault="00962B7B">
    <w:pPr>
      <w:spacing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B7B" w:rsidRDefault="00962B7B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A7587">
      <w:pPr>
        <w:spacing w:line="240" w:lineRule="auto"/>
      </w:pPr>
      <w:r>
        <w:separator/>
      </w:r>
    </w:p>
  </w:footnote>
  <w:footnote w:type="continuationSeparator" w:id="0">
    <w:p w:rsidR="00000000" w:rsidRDefault="005A758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22767"/>
    <w:multiLevelType w:val="hybridMultilevel"/>
    <w:tmpl w:val="C5B8C568"/>
    <w:lvl w:ilvl="0" w:tplc="BD24C15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AC58C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68FF8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30EE7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FFEB17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066A2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52AD6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A66A6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E8C9D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DD2181"/>
    <w:multiLevelType w:val="hybridMultilevel"/>
    <w:tmpl w:val="2FC04EDE"/>
    <w:lvl w:ilvl="0" w:tplc="34945FC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A021D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48B27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66C00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5CBC5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80B3A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F6248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5C9AE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325A9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1B4867"/>
    <w:multiLevelType w:val="hybridMultilevel"/>
    <w:tmpl w:val="AC0E2A1A"/>
    <w:lvl w:ilvl="0" w:tplc="8CE6F76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66DCAA">
      <w:start w:val="1"/>
      <w:numFmt w:val="bullet"/>
      <w:lvlText w:val="o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3AAFC2">
      <w:start w:val="1"/>
      <w:numFmt w:val="bullet"/>
      <w:lvlText w:val="▪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78026E">
      <w:start w:val="1"/>
      <w:numFmt w:val="bullet"/>
      <w:lvlText w:val="•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E87EE4">
      <w:start w:val="1"/>
      <w:numFmt w:val="bullet"/>
      <w:lvlText w:val="o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928B14">
      <w:start w:val="1"/>
      <w:numFmt w:val="bullet"/>
      <w:lvlText w:val="▪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B46566">
      <w:start w:val="1"/>
      <w:numFmt w:val="bullet"/>
      <w:lvlText w:val="•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B8D016">
      <w:start w:val="1"/>
      <w:numFmt w:val="bullet"/>
      <w:lvlText w:val="o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1EDD0E">
      <w:start w:val="1"/>
      <w:numFmt w:val="bullet"/>
      <w:lvlText w:val="▪"/>
      <w:lvlJc w:val="left"/>
      <w:pPr>
        <w:ind w:left="6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94359B"/>
    <w:multiLevelType w:val="hybridMultilevel"/>
    <w:tmpl w:val="518CEBFA"/>
    <w:lvl w:ilvl="0" w:tplc="9364CB60">
      <w:start w:val="1"/>
      <w:numFmt w:val="bullet"/>
      <w:lvlText w:val="-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BE2822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469C0C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5EAB36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D0B616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6FB7C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EA29EA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D0625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2E959E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D76CEF"/>
    <w:multiLevelType w:val="hybridMultilevel"/>
    <w:tmpl w:val="A508D522"/>
    <w:lvl w:ilvl="0" w:tplc="2C62FDC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948002">
      <w:start w:val="1"/>
      <w:numFmt w:val="bullet"/>
      <w:lvlText w:val="o"/>
      <w:lvlJc w:val="left"/>
      <w:pPr>
        <w:ind w:left="1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D07898">
      <w:start w:val="1"/>
      <w:numFmt w:val="bullet"/>
      <w:lvlText w:val="▪"/>
      <w:lvlJc w:val="left"/>
      <w:pPr>
        <w:ind w:left="1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E452EC">
      <w:start w:val="1"/>
      <w:numFmt w:val="bullet"/>
      <w:lvlText w:val="•"/>
      <w:lvlJc w:val="left"/>
      <w:pPr>
        <w:ind w:left="2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AAC3C40">
      <w:start w:val="1"/>
      <w:numFmt w:val="bullet"/>
      <w:lvlText w:val="o"/>
      <w:lvlJc w:val="left"/>
      <w:pPr>
        <w:ind w:left="3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BCAAF6">
      <w:start w:val="1"/>
      <w:numFmt w:val="bullet"/>
      <w:lvlText w:val="▪"/>
      <w:lvlJc w:val="left"/>
      <w:pPr>
        <w:ind w:left="4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DEAD7C">
      <w:start w:val="1"/>
      <w:numFmt w:val="bullet"/>
      <w:lvlText w:val="•"/>
      <w:lvlJc w:val="left"/>
      <w:pPr>
        <w:ind w:left="4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8B1C8">
      <w:start w:val="1"/>
      <w:numFmt w:val="bullet"/>
      <w:lvlText w:val="o"/>
      <w:lvlJc w:val="left"/>
      <w:pPr>
        <w:ind w:left="5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86F2BE">
      <w:start w:val="1"/>
      <w:numFmt w:val="bullet"/>
      <w:lvlText w:val="▪"/>
      <w:lvlJc w:val="left"/>
      <w:pPr>
        <w:ind w:left="6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73E716F"/>
    <w:multiLevelType w:val="hybridMultilevel"/>
    <w:tmpl w:val="F5B8455E"/>
    <w:lvl w:ilvl="0" w:tplc="8FB0E570">
      <w:start w:val="1"/>
      <w:numFmt w:val="decimal"/>
      <w:lvlText w:val="%1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28CF8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644F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A4CCE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CAC2CE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162C2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DC033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E2534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28151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B7B"/>
    <w:rsid w:val="005A7587"/>
    <w:rsid w:val="0096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6E9EA-713C-4942-926B-9BD68C93C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2672" w:firstLine="69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5A7587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7587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4832</Words>
  <Characters>27544</Characters>
  <Application>Microsoft Office Word</Application>
  <DocSecurity>0</DocSecurity>
  <Lines>229</Lines>
  <Paragraphs>64</Paragraphs>
  <ScaleCrop>false</ScaleCrop>
  <Company/>
  <LinksUpToDate>false</LinksUpToDate>
  <CharactersWithSpaces>32312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28.12.2025)"О контрактной системе в сфере закупок товаров, работ, услуг для обеспечения государственных и муниципальных нужд"(с изм. и доп., вступ. в силу с 01.01.2026)</dc:title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2026-05-15T14:19:00Z</dcterms:created>
  <dcterms:modified xsi:type="dcterms:W3CDTF">2026-05-15T14:19:00Z</dcterms:modified>
</cp:coreProperties>
</file>