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РЕШЕНИЕ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по делу № 023/06/105-2011/2026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14 мая 2026 года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ab/>
        <w:t>рассмотрев жалобу ООО «Арт.ПРОЕКТ» на действия уполномоченного органа – администрации МО Новокубанский район, заказчика – МКУ «Служба единого заказчика» МО Новокубанский район при проведении открытого конкурса в электронной форме: «Разработка проектной документации (проектно-изыскательских работ) по объекту: «Строительство блочно-модульной котельной по адресу: Российская Федерация, Краснодарсий край, Новокубанский район, Верхнекубанское с.п., хутор Кирова, ул. Заводская, дом №19А» (извещение № 0318300039526000058) в части нарушения законодательства о контрактной системе,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Заявитель указывает, что документация закупки содержит нарушение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системе): незаконное требование СРО; в заявке содержится выписка из реестра членов СРО в области архитектурно-строительного проектирования.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Представитель уполномоченного органа с доводами жалобы не согласился. Заявка отклонена в соответствии с положениями Закона о контрактной системе. Требование о наличии членства СРО установлено с учетом специфики закупки.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 xml:space="preserve">Уполномоченным органом – администрацией МО Новокубанский район в ЕИС 17.04.2026 размещено извещение о проведении </w:t>
      </w:r>
      <w:r>
        <w:rPr>
          <w:rFonts w:eastAsia="Times New Roman" w:cs="Times New Roman" w:ascii="Times New Roman" w:hAnsi="Times New Roman"/>
          <w:sz w:val="26"/>
          <w:szCs w:val="26"/>
        </w:rPr>
        <w:t>открытого конкурса в электронной форме: «Разработка проектной документации (проектно-изыскательских работ) по объекту: «Строительство блочно-модульной котельной по адресу: Российская Федерация, Краснодарсий край, Новокубанский район, Верхнекубанское с.п., хутор Кирова, ул. Заводская, дом №19А» (извещение № 0318300039526000058) с НМЦК 9 500 000,00 рублей. Заказчик - МКУ «Служба единого заказчика» МО Новокубанский район.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ab/>
        <w:t>В соответствии с протоколом рассмотрения и оценки вторых частей заявок от 06.05.2026 заявка Заявителя отклонена на основании п.3) ч.12 ст.48 Закона о контрактной системе: в реестре отсутствуют сведения об участнике как о действующем члене саморегулируемой организации в области инженерных изысканий.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ab/>
        <w:t>В соответствии с извещением закупки к участникам установлено требование: участник должен быть действующим членом саморегулируемой организации в области инженерных изысканий, архитектурно-строительного проектирования.</w:t>
      </w:r>
    </w:p>
    <w:p>
      <w:pPr>
        <w:pStyle w:val="S1"/>
        <w:shd w:val="clear" w:color="auto" w:fill="FFFFFF"/>
        <w:spacing w:beforeAutospacing="0" w:before="0" w:afterAutospacing="0" w:after="0"/>
        <w:ind w:firstLine="708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В соответствии с ч.11 ст.48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"https://base.garant.ru/70353464/92409a09f2fd78349ae7c7f2064bf25a/" \l "block_48102"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пунктом 2 части 10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 настоящей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1) члены комиссии по осуществлению закупок: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 </w:t>
      </w:r>
      <w:r>
        <w:fldChar w:fldCharType="begin"/>
      </w:r>
      <w:r>
        <w:rPr>
          <w:sz w:val="26"/>
          <w:szCs w:val="26"/>
          <w:color w:val="CC3333"/>
        </w:rPr>
        <w:instrText> HYPERLINK "https://base.garant.ru/70353464/92409a09f2fd78349ae7c7f2064bf25a/" \l "block_48102"</w:instrText>
      </w:r>
      <w:r>
        <w:rPr>
          <w:sz w:val="26"/>
          <w:szCs w:val="26"/>
          <w:color w:val="CC3333"/>
        </w:rPr>
        <w:fldChar w:fldCharType="separate"/>
      </w:r>
      <w:r>
        <w:rPr>
          <w:color w:val="CC3333"/>
          <w:sz w:val="26"/>
          <w:szCs w:val="26"/>
        </w:rPr>
        <w:t>пунктом 2 части 10</w:t>
      </w:r>
      <w:r>
        <w:rPr>
          <w:sz w:val="26"/>
          <w:szCs w:val="26"/>
          <w:color w:val="CC3333"/>
        </w:rPr>
        <w:fldChar w:fldCharType="end"/>
      </w:r>
      <w:r>
        <w:rPr>
          <w:color w:val="464C55"/>
          <w:sz w:val="26"/>
          <w:szCs w:val="26"/>
        </w:rPr>
        <w:t> настоящей статьи,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"https://base.garant.ru/70353464/b3975f01ce8b0eb0c9b11526d9b4c7bf/" \l "block_3214"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пунктом 4 части 1 статьи 32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 настоящего Федерального закона (если такой критерий установлен извещением об осуществлении закупки)/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ab/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"https://base.garant.ru/12184522/741609f9002bd54a24e5c49cb5af953b/" \l "block_21"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электронными подписями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 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  <w:lang w:val="en-US"/>
        </w:rPr>
        <w:tab/>
      </w:r>
      <w:r>
        <w:rPr>
          <w:rFonts w:cs="Times New Roman" w:ascii="Times New Roman" w:hAnsi="Times New Roman"/>
          <w:sz w:val="26"/>
          <w:szCs w:val="26"/>
        </w:rPr>
        <w:t>В заявке Заявителя представлена информация о наличии членства СРО в области архитектурно-строительного проектирования. Информация о наличии членства СРО в области инженерных изысканий в реестре НОПРИЗ отсутствует. Таким образом, в действиях комиссии уполномоченного органа при рассмотрении заявок отсутствует нарушение ч.11 ст.48 Закона о контрактной системе.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ab/>
        <w:t>Согласно п.1) ч.1 ст.31 Закона о контрактной системе при применении конкурентных способов заказчик устанавливает требования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 являющихся объектом закупки.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 соответствии с п.2) ч.6 ст.48 ГрК заказчик обязан предоставить индивидуальному предпринимателю или юридическому лицу результаты инженерных изысканий (в случае, если они отсутствуют, договором подряда на подготовку проектной документации должно быть задание на выполнение инженерных изысканий).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ab/>
        <w:t xml:space="preserve">В соответствии с письмом ФАС России от 11.07.2023 №МШ/54828/23 в случае, если объектом закупки являются работы по разработке проектной документации и в том числе работы по выполнению инженерных изысканий, заказчиком должно быть установлено требование к участнику закупки о наличии членства в саморегулируемой организации в области архитектурно-строительного проектирования. 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ab/>
        <w:t>Из пояснений уполномоченного органа следует, что общая цена работ по инженерным изысканиям составляет 2 452 609,67 рублей при НМЦК 9 500 000,00 рублей. Таким образом, работы по инженерным изысканиям являются частью проектных работ. Конечным результатом работ является разработка проектно-сметной документации. В соответствии с п.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1.2 проекта контракта р</w:t>
      </w:r>
      <w:r>
        <w:rPr>
          <w:rFonts w:cs="Times New Roman" w:ascii="Times New Roman" w:hAnsi="Times New Roman"/>
          <w:color w:val="000000"/>
          <w:sz w:val="26"/>
          <w:szCs w:val="26"/>
        </w:rPr>
        <w:t>езультатом выполненных работ, предусмотренных настоящим контрактом, является проектная документация, рабочая документация, разработанная в объеме, предусмотренном заданием на проектирование (приложение № 1 к контракту) и документ, содержащий результаты инженерных изысканий. Проектная документация, рабочая документация и документ, содержащий результаты инженерных изысканий, признаются результатом выполненной работы по такому контракту при наличии положительного заключения государственной экспертизы проектной документации, в том числе проверки достоверности определения сметной стоимости.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В связи с изложенным, Комиссия приходит к выводу, что требование об одновременном наличии членства СРО в области архитектурно-строительного проектирования и в области инженерных изысканий ограничивает участников, что нарушает ч.2 ст.8, ч.6 ст.31 Закона о контрактной системе. 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Комиссия, руководствуясь ч.15, ч.22, ч.23 ст.99, ч.8 ст.106 Закона о контрактной системе,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cs="Times New Roman" w:ascii="Times New Roman" w:hAnsi="Times New Roman"/>
          <w:color w:val="464C55"/>
          <w:sz w:val="26"/>
          <w:szCs w:val="26"/>
          <w:shd w:fill="FFFFFF" w:val="clear"/>
        </w:rPr>
        <w:t>Признать жалобу ООО «Арт.Проект» обоснованной в части нарушения ч.2 ст.8,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ч.6 ст.31 Закона о контрактной системе.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cs="Times New Roman" w:ascii="Times New Roman" w:hAnsi="Times New Roman"/>
          <w:color w:val="464C55"/>
          <w:sz w:val="26"/>
          <w:szCs w:val="26"/>
          <w:shd w:fill="FFFFFF" w:val="clear"/>
        </w:rPr>
        <w:t xml:space="preserve">Признать в действиях Заказчика –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МКУ «Служба единого заказчика» МО Новокубанский район </w:t>
      </w:r>
      <w:r>
        <w:rPr>
          <w:rFonts w:cs="Times New Roman" w:ascii="Times New Roman" w:hAnsi="Times New Roman"/>
          <w:color w:val="464C55"/>
          <w:sz w:val="26"/>
          <w:szCs w:val="26"/>
          <w:shd w:fill="FFFFFF" w:val="clear"/>
        </w:rPr>
        <w:t>нарушение ч.2 ст.8, ч.6 ст.31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Закона о контрактной системе.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cs="Times New Roman" w:ascii="Times New Roman" w:hAnsi="Times New Roman"/>
          <w:color w:val="464C55"/>
          <w:sz w:val="26"/>
          <w:szCs w:val="26"/>
          <w:shd w:fill="FFFFFF" w:val="clear"/>
        </w:rPr>
        <w:t xml:space="preserve">Уполномоченному органу (комиссии) – администрации МО Новокубанский район, заказчику - 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МКУ «Служба единого заказчика» МО Новокубанский район </w:t>
      </w:r>
      <w:bookmarkStart w:id="0" w:name="_GoBack"/>
      <w:bookmarkEnd w:id="0"/>
      <w:r>
        <w:rPr>
          <w:rFonts w:cs="Times New Roman" w:ascii="Times New Roman" w:hAnsi="Times New Roman"/>
          <w:color w:val="464C55"/>
          <w:sz w:val="26"/>
          <w:szCs w:val="26"/>
          <w:shd w:fill="FFFFFF" w:val="clear"/>
        </w:rPr>
        <w:t>выдать предписание об устранении нарушений Закона о контрактной системе.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color w:val="464C55"/>
          <w:sz w:val="26"/>
          <w:szCs w:val="26"/>
          <w:shd w:fill="FFFFFF" w:val="clear"/>
        </w:rPr>
      </w:pPr>
      <w:r>
        <w:rPr>
          <w:rFonts w:cs="Times New Roman" w:ascii="Times New Roman" w:hAnsi="Times New Roman"/>
          <w:color w:val="464C55"/>
          <w:sz w:val="26"/>
          <w:szCs w:val="26"/>
          <w:shd w:fill="FFFFFF" w:val="clear"/>
        </w:rPr>
        <w:t>Передать материалы дела уполномоченному должностному лицу для рассмотрения вопроса о возбуждении административного производства по ч.5 ст.7.30.1 КоАП.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1065" w:hanging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1065" w:hanging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1065" w:hanging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before="0" w:after="200"/>
        <w:rPr>
          <w:rFonts w:ascii="Times New Roman" w:hAnsi="Times New Roman" w:cs="Times New Roman"/>
          <w:sz w:val="26"/>
          <w:szCs w:val="26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nsolas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639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ConsPlusNormal">
    <w:name w:val="ConsPlusNormal Знак"/>
    <w:qFormat/>
    <w:rPr>
      <w:rFonts w:ascii="Arial" w:hAnsi="Arial" w:cs="Arial"/>
    </w:rPr>
  </w:style>
  <w:style w:type="character" w:styleId="ConsPlusNormal1">
    <w:name w:val="ConsPlusNormal1"/>
    <w:qFormat/>
    <w:rPr>
      <w:rFonts w:ascii="Arial" w:hAnsi="Arial" w:eastAsia="0" w:cs="Arial"/>
      <w:sz w:val="20"/>
      <w:szCs w:val="20"/>
      <w:lang w:eastAsia="ru-RU"/>
    </w:rPr>
  </w:style>
  <w:style w:type="character" w:styleId="FootnoteCharacters">
    <w:name w:val="Footnote Characters"/>
    <w:qFormat/>
    <w:rPr>
      <w:vertAlign w:val="superscript"/>
    </w:rPr>
  </w:style>
  <w:style w:type="character" w:styleId="Style12">
    <w:name w:val="Текст сноски Знак"/>
    <w:qFormat/>
    <w:rPr>
      <w:sz w:val="20"/>
      <w:szCs w:val="20"/>
    </w:rPr>
  </w:style>
  <w:style w:type="character" w:styleId="Style13">
    <w:name w:val="Тема примечания Знак"/>
    <w:qFormat/>
    <w:rPr>
      <w:b/>
      <w:bCs/>
      <w:sz w:val="20"/>
      <w:szCs w:val="20"/>
    </w:rPr>
  </w:style>
  <w:style w:type="character" w:styleId="Style14">
    <w:name w:val="Текст примечания Знак"/>
    <w:qFormat/>
    <w:rPr>
      <w:sz w:val="20"/>
      <w:szCs w:val="20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HTML">
    <w:name w:val="Стандартный HTML Знак"/>
    <w:qFormat/>
    <w:rPr>
      <w:rFonts w:ascii="Consolas" w:hAnsi="Consolas"/>
      <w:sz w:val="20"/>
      <w:szCs w:val="20"/>
    </w:rPr>
  </w:style>
  <w:style w:type="character" w:styleId="Style15">
    <w:name w:val="Основной текст Знак"/>
    <w:qFormat/>
    <w:rPr/>
  </w:style>
  <w:style w:type="character" w:styleId="Appleconvertedspace">
    <w:name w:val="apple-converted-space"/>
    <w:qFormat/>
    <w:rPr/>
  </w:style>
  <w:style w:type="character" w:styleId="Style16">
    <w:name w:val="Гипертекстовая ссылка"/>
    <w:qFormat/>
    <w:rPr>
      <w:color w:val="106BBE"/>
    </w:rPr>
  </w:style>
  <w:style w:type="character" w:styleId="3">
    <w:name w:val="Основной текст 3 Знак"/>
    <w:qFormat/>
    <w:rPr>
      <w:sz w:val="16"/>
      <w:szCs w:val="16"/>
    </w:rPr>
  </w:style>
  <w:style w:type="character" w:styleId="22">
    <w:name w:val="Основной текст 2 Знак"/>
    <w:qFormat/>
    <w:rPr/>
  </w:style>
  <w:style w:type="character" w:styleId="23">
    <w:name w:val="Основной текст с отступом 2 Знак"/>
    <w:qFormat/>
    <w:rPr/>
  </w:style>
  <w:style w:type="character" w:styleId="Style17">
    <w:name w:val="Основной текст с отступом Знак"/>
    <w:qFormat/>
    <w:rPr>
      <w:rFonts w:ascii="Times New Roman" w:hAnsi="Times New Roman" w:eastAsia="Times New Roman" w:cs="Times New Roman"/>
      <w:szCs w:val="20"/>
      <w:lang w:eastAsia="ru-RU"/>
    </w:rPr>
  </w:style>
  <w:style w:type="character" w:styleId="Style18">
    <w:name w:val="Нижний колонтитул Знак"/>
    <w:qFormat/>
    <w:rPr/>
  </w:style>
  <w:style w:type="character" w:styleId="Style19">
    <w:name w:val="Текст выноски Знак"/>
    <w:qFormat/>
    <w:rPr>
      <w:rFonts w:ascii="Tahoma" w:hAnsi="Tahoma" w:cs="Tahoma"/>
      <w:sz w:val="16"/>
      <w:szCs w:val="16"/>
    </w:rPr>
  </w:style>
  <w:style w:type="character" w:styleId="Style20">
    <w:name w:val="Верхний колонтитул Знак"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2">
    <w:name w:val="Body Text"/>
    <w:basedOn w:val="Normal"/>
    <w:pPr>
      <w:spacing w:lineRule="auto" w:line="276" w:before="0" w:after="140"/>
    </w:pPr>
    <w:rPr/>
  </w:style>
  <w:style w:type="paragraph" w:styleId="Style23">
    <w:name w:val="List"/>
    <w:basedOn w:val="Style22"/>
    <w:pPr/>
    <w:rPr>
      <w:rFonts w:cs="Lucida Sans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99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TableParagraph">
    <w:name w:val="Table Paragraph"/>
    <w:basedOn w:val="Normal"/>
    <w:qFormat/>
    <w:pPr>
      <w:widowControl w:val="false"/>
    </w:pPr>
    <w:rPr>
      <w:rFonts w:ascii="Times New Roman" w:hAnsi="Times New Roman" w:eastAsia="Times New Roman" w:cs="Times New Roman"/>
    </w:rPr>
  </w:style>
  <w:style w:type="paragraph" w:styleId="Default">
    <w:name w:val="Default"/>
    <w:qFormat/>
    <w:pPr>
      <w:widowControl/>
      <w:suppressAutoHyphens w:val="true"/>
      <w:bidi w:val="0"/>
      <w:spacing w:lineRule="auto" w:line="276" w:before="0" w:after="0"/>
      <w:jc w:val="left"/>
    </w:pPr>
    <w:rPr>
      <w:rFonts w:ascii="Times New Roman" w:hAnsi="Times New Roman" w:eastAsia="0" w:cs="Times New Roman"/>
      <w:color w:val="000000"/>
      <w:kern w:val="2"/>
      <w:sz w:val="24"/>
      <w:szCs w:val="24"/>
      <w:lang w:val="ru-RU" w:eastAsia="ru-RU" w:bidi="hi-IN"/>
    </w:rPr>
  </w:style>
  <w:style w:type="paragraph" w:styleId="ConsNonformat">
    <w:name w:val="ConsNonformat"/>
    <w:qFormat/>
    <w:pPr>
      <w:widowControl w:val="false"/>
      <w:suppressAutoHyphens w:val="true"/>
      <w:bidi w:val="0"/>
      <w:spacing w:lineRule="auto" w:line="276" w:before="0" w:after="0"/>
      <w:jc w:val="left"/>
    </w:pPr>
    <w:rPr>
      <w:rFonts w:ascii="Courier New" w:hAnsi="Courier New" w:eastAsia="Times New Roman" w:cs="Times New Roman"/>
      <w:color w:val="auto"/>
      <w:kern w:val="2"/>
      <w:sz w:val="20"/>
      <w:szCs w:val="20"/>
      <w:lang w:val="ru-RU" w:eastAsia="ru-RU" w:bidi="hi-IN"/>
    </w:rPr>
  </w:style>
  <w:style w:type="paragraph" w:styleId="Style26">
    <w:name w:val="Прижатый влево"/>
    <w:basedOn w:val="Normal"/>
    <w:next w:val="Normal"/>
    <w:qFormat/>
    <w:pPr/>
    <w:rPr>
      <w:rFonts w:ascii="Arial" w:hAnsi="Arial" w:eastAsia="Times New Roman" w:cs="Times New Roman"/>
      <w:sz w:val="26"/>
      <w:szCs w:val="26"/>
      <w:lang w:eastAsia="ru-RU"/>
    </w:rPr>
  </w:style>
  <w:style w:type="paragraph" w:styleId="Revision">
    <w:name w:val="Revision"/>
    <w:qFormat/>
    <w:pPr>
      <w:widowControl/>
      <w:suppressAutoHyphens w:val="true"/>
      <w:bidi w:val="0"/>
      <w:spacing w:lineRule="auto" w:line="276" w:before="0" w:after="0"/>
      <w:jc w:val="left"/>
    </w:pPr>
    <w:rPr>
      <w:rFonts w:ascii="Liberation Serif" w:hAnsi="Liberation Serif" w:eastAsia="0" w:cs="Lucida Sans"/>
      <w:color w:val="auto"/>
      <w:kern w:val="2"/>
      <w:sz w:val="24"/>
      <w:szCs w:val="24"/>
      <w:lang w:val="ru-RU" w:eastAsia="zh-CN" w:bidi="hi-IN"/>
    </w:rPr>
  </w:style>
  <w:style w:type="paragraph" w:styleId="Annotationsubject">
    <w:name w:val="annotation subject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b/>
      <w:bCs/>
      <w:color w:val="auto"/>
      <w:kern w:val="0"/>
      <w:sz w:val="20"/>
      <w:szCs w:val="20"/>
      <w:lang w:val="ru-RU" w:eastAsia="en-US" w:bidi="ar-SA"/>
    </w:rPr>
  </w:style>
  <w:style w:type="paragraph" w:styleId="Annotationtext">
    <w:name w:val="annotation text"/>
    <w:basedOn w:val="Normal"/>
    <w:qFormat/>
    <w:pPr/>
    <w:rPr>
      <w:sz w:val="20"/>
      <w:szCs w:val="20"/>
    </w:rPr>
  </w:style>
  <w:style w:type="paragraph" w:styleId="HTMLPreformatted">
    <w:name w:val="HTML Preformatted"/>
    <w:basedOn w:val="Normal"/>
    <w:qFormat/>
    <w:pPr/>
    <w:rPr>
      <w:rFonts w:ascii="Consolas" w:hAnsi="Consolas"/>
      <w:sz w:val="20"/>
      <w:szCs w:val="20"/>
    </w:rPr>
  </w:style>
  <w:style w:type="paragraph" w:styleId="Headertext">
    <w:name w:val="headertext"/>
    <w:basedOn w:val="Normal"/>
    <w:qFormat/>
    <w:pPr>
      <w:spacing w:beforeAutospacing="1" w:afterAutospacing="1"/>
    </w:pPr>
    <w:rPr>
      <w:rFonts w:ascii="Times New Roman" w:hAnsi="Times New Roman" w:eastAsia="Times New Roman" w:cs="Times New Roman"/>
      <w:lang w:eastAsia="ru-RU"/>
    </w:rPr>
  </w:style>
  <w:style w:type="paragraph" w:styleId="Formattext">
    <w:name w:val="formattext"/>
    <w:basedOn w:val="Normal"/>
    <w:qFormat/>
    <w:pPr>
      <w:spacing w:beforeAutospacing="1" w:afterAutospacing="1"/>
    </w:pPr>
    <w:rPr>
      <w:rFonts w:ascii="Times New Roman" w:hAnsi="Times New Roman" w:eastAsia="Times New Roman" w:cs="Times New Roman"/>
      <w:lang w:eastAsia="ru-RU"/>
    </w:rPr>
  </w:style>
  <w:style w:type="paragraph" w:styleId="ConsPlusNormal2">
    <w:name w:val="ConsPlusNormal"/>
    <w:qFormat/>
    <w:pPr>
      <w:widowControl w:val="false"/>
      <w:suppressAutoHyphens w:val="true"/>
      <w:bidi w:val="0"/>
      <w:spacing w:lineRule="auto" w:line="276" w:before="0" w:after="0"/>
      <w:jc w:val="left"/>
    </w:pPr>
    <w:rPr>
      <w:rFonts w:ascii="Arial" w:hAnsi="Arial" w:eastAsia="0" w:cs="Arial"/>
      <w:color w:val="auto"/>
      <w:kern w:val="2"/>
      <w:sz w:val="20"/>
      <w:szCs w:val="20"/>
      <w:lang w:val="ru-RU" w:eastAsia="ru-RU" w:bidi="hi-IN"/>
    </w:rPr>
  </w:style>
  <w:style w:type="paragraph" w:styleId="BodyText3">
    <w:name w:val="Body Text 3"/>
    <w:basedOn w:val="Normal"/>
    <w:qFormat/>
    <w:pPr>
      <w:spacing w:before="0" w:after="120"/>
    </w:pPr>
    <w:rPr>
      <w:sz w:val="16"/>
      <w:szCs w:val="16"/>
    </w:rPr>
  </w:style>
  <w:style w:type="paragraph" w:styleId="BodyText2">
    <w:name w:val="Body Text 2"/>
    <w:basedOn w:val="Normal"/>
    <w:qFormat/>
    <w:pPr>
      <w:spacing w:lineRule="auto" w:line="480" w:before="0" w:after="120"/>
    </w:pPr>
    <w:rPr/>
  </w:style>
  <w:style w:type="paragraph" w:styleId="12">
    <w:name w:val="Обычный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ru-RU" w:eastAsia="ru-RU" w:bidi="hi-IN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hanging="0"/>
    </w:pPr>
    <w:rPr/>
  </w:style>
  <w:style w:type="paragraph" w:styleId="NoSpacing">
    <w:name w:val="No Spacing"/>
    <w:qFormat/>
    <w:pPr>
      <w:widowControl/>
      <w:suppressAutoHyphens w:val="true"/>
      <w:bidi w:val="0"/>
      <w:spacing w:lineRule="auto" w:line="276" w:before="0" w:after="0"/>
      <w:jc w:val="left"/>
    </w:pPr>
    <w:rPr>
      <w:rFonts w:ascii="Liberation Serif" w:hAnsi="Liberation Serif" w:eastAsia="0" w:cs="Lucida Sans"/>
      <w:color w:val="auto"/>
      <w:kern w:val="2"/>
      <w:sz w:val="24"/>
      <w:szCs w:val="24"/>
      <w:lang w:val="ru-RU" w:eastAsia="zh-CN" w:bidi="hi-IN"/>
    </w:rPr>
  </w:style>
  <w:style w:type="paragraph" w:styleId="Consplusnormal3">
    <w:name w:val="consplusnormal"/>
    <w:basedOn w:val="Normal"/>
    <w:qFormat/>
    <w:pPr>
      <w:spacing w:before="187" w:after="187"/>
      <w:ind w:left="187" w:right="187" w:hanging="0"/>
    </w:pPr>
    <w:rPr>
      <w:rFonts w:ascii="Times New Roman" w:hAnsi="Times New Roman" w:eastAsia="Times New Roman" w:cs="Times New Roman"/>
      <w:lang w:eastAsia="ru-RU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1060A-D829-4EB6-A77A-C69D49AEE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1729</TotalTime>
  <Application>LibreOffice/7.2.5.2$Windows_X86_64 LibreOffice_project/499f9727c189e6ef3471021d6132d4c694f357e5</Application>
  <AppVersion>15.0000</AppVersion>
  <Pages>4</Pages>
  <Words>997</Words>
  <Characters>7070</Characters>
  <CharactersWithSpaces>8293</CharactersWithSpaces>
  <Paragraphs>36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/>
  <dc:language>ru-RU</dc:language>
  <cp:lastModifiedBy/>
  <dcterms:modified xsi:type="dcterms:W3CDTF">2026-05-19T10:25:12Z</dcterms:modified>
  <cp:revision>1238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