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6"/>
          <w:szCs w:val="26"/>
        </w:rPr>
      </w:pPr>
      <w:r>
        <w:rPr>
          <w:rFonts w:cs="Times New Roman" w:ascii="Times New Roman" w:hAnsi="Times New Roman"/>
          <w:sz w:val="26"/>
          <w:szCs w:val="26"/>
        </w:rPr>
        <w:t>РЕШЕНИЕ</w:t>
      </w:r>
    </w:p>
    <w:p>
      <w:pPr>
        <w:pStyle w:val="Normal"/>
        <w:jc w:val="center"/>
        <w:rPr>
          <w:rFonts w:ascii="Times New Roman" w:hAnsi="Times New Roman" w:cs="Times New Roman"/>
          <w:sz w:val="26"/>
          <w:szCs w:val="26"/>
        </w:rPr>
      </w:pPr>
      <w:r>
        <w:rPr>
          <w:rFonts w:cs="Times New Roman" w:ascii="Times New Roman" w:hAnsi="Times New Roman"/>
          <w:sz w:val="26"/>
          <w:szCs w:val="26"/>
        </w:rPr>
        <w:t>по делу № 023/06/105-2010/2026</w:t>
      </w:r>
    </w:p>
    <w:p>
      <w:pPr>
        <w:pStyle w:val="Normal"/>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14 мая 2026 года                                                                                        г. Краснодар</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ab/>
        <w:t>рассмотрев жалобу ИП Баранзаева Б.Б. (далее Заявитель) на действия заказчика – ГБУЗ «Городская больница №1 г. Новороссийск» МЗ КК при проведении электронного аукциона: «Поставка изделий медицинского назначения (диализатор для гемодиализа с полыми волокнами, одноразового использования)» (извещение № 0318300529726000314) в части нарушения законодательства о контрактной системе,</w:t>
      </w:r>
    </w:p>
    <w:p>
      <w:pPr>
        <w:pStyle w:val="Normal"/>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Заявитель указывает, что закупка содержит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совокупность характеристик указывает на товар единственного производителя.</w:t>
      </w:r>
    </w:p>
    <w:p>
      <w:pPr>
        <w:pStyle w:val="Normal"/>
        <w:jc w:val="both"/>
        <w:rPr>
          <w:rFonts w:ascii="Times New Roman" w:hAnsi="Times New Roman" w:cs="Times New Roman"/>
          <w:sz w:val="26"/>
          <w:szCs w:val="26"/>
        </w:rPr>
      </w:pPr>
      <w:r>
        <w:rPr>
          <w:rFonts w:cs="Times New Roman" w:ascii="Times New Roman" w:hAnsi="Times New Roman"/>
          <w:sz w:val="26"/>
          <w:szCs w:val="26"/>
        </w:rPr>
        <w:tab/>
        <w:t>Заказчиком предоставлены письменные пояснения, согласно которым извещение соответствует положениям Закона о контрактной системе.</w:t>
      </w:r>
    </w:p>
    <w:p>
      <w:pPr>
        <w:pStyle w:val="Normal"/>
        <w:jc w:val="both"/>
        <w:rPr>
          <w:rFonts w:ascii="Times New Roman" w:hAnsi="Times New Roman" w:cs="Times New Roman"/>
          <w:sz w:val="26"/>
          <w:szCs w:val="26"/>
        </w:rPr>
      </w:pPr>
      <w:r>
        <w:rPr>
          <w:rFonts w:cs="Times New Roman" w:ascii="Times New Roman" w:hAnsi="Times New Roman"/>
          <w:sz w:val="26"/>
          <w:szCs w:val="26"/>
        </w:rPr>
        <w:tab/>
        <w:t>Рассмотрев представленные материалы, Комиссия пришла к следующим выводам.</w:t>
      </w:r>
    </w:p>
    <w:p>
      <w:pPr>
        <w:pStyle w:val="Normal"/>
        <w:jc w:val="both"/>
        <w:rPr>
          <w:rFonts w:ascii="Times New Roman" w:hAnsi="Times New Roman" w:eastAsia="Times New Roman" w:cs="Times New Roman"/>
          <w:sz w:val="26"/>
          <w:szCs w:val="26"/>
        </w:rPr>
      </w:pPr>
      <w:r>
        <w:rPr>
          <w:rFonts w:cs="Times New Roman" w:ascii="Times New Roman" w:hAnsi="Times New Roman"/>
          <w:sz w:val="26"/>
          <w:szCs w:val="26"/>
        </w:rPr>
        <w:tab/>
        <w:t xml:space="preserve">Заказчиком –  </w:t>
      </w:r>
      <w:r>
        <w:rPr>
          <w:rFonts w:eastAsia="Times New Roman" w:cs="Times New Roman" w:ascii="Times New Roman" w:hAnsi="Times New Roman"/>
          <w:sz w:val="26"/>
          <w:szCs w:val="26"/>
        </w:rPr>
        <w:t xml:space="preserve">ГБУЗ «Городская больница №1 г. Новороссийск» МЗ КК </w:t>
      </w:r>
      <w:r>
        <w:rPr>
          <w:rFonts w:cs="Times New Roman" w:ascii="Times New Roman" w:hAnsi="Times New Roman"/>
          <w:sz w:val="26"/>
          <w:szCs w:val="26"/>
        </w:rPr>
        <w:t xml:space="preserve">в ЕИС 05.05.2026 размещено извещение о проведении электронного аукциона: </w:t>
      </w:r>
      <w:r>
        <w:rPr>
          <w:rFonts w:eastAsia="Times New Roman" w:cs="Times New Roman" w:ascii="Times New Roman" w:hAnsi="Times New Roman"/>
          <w:sz w:val="26"/>
          <w:szCs w:val="26"/>
        </w:rPr>
        <w:t>«Поставка изделий медицинского назначения (диализатор для гемодиализа с полыми волокнами, одноразового использования)» (извещение № 0318300529726000314) с НМЦК 599 999,00 рублей.</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1) описание объекта закупки в соответствии со статьей 33 настоящего Федерального закона;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5) проект контракта.</w:t>
      </w:r>
    </w:p>
    <w:p>
      <w:pPr>
        <w:pStyle w:val="S1"/>
        <w:shd w:val="clear" w:color="auto" w:fill="FFFFFF"/>
        <w:spacing w:beforeAutospacing="0" w:before="0" w:afterAutospacing="0" w:after="30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464C55"/>
          <w:sz w:val="26"/>
          <w:szCs w:val="26"/>
        </w:rPr>
      </w:pPr>
      <w:r>
        <w:rPr>
          <w:color w:val="464C55"/>
          <w:sz w:val="26"/>
          <w:szCs w:val="26"/>
        </w:rPr>
        <w:t>а) сопровождение такого указания словами "или эквивалент";</w:t>
      </w:r>
    </w:p>
    <w:p>
      <w:pPr>
        <w:pStyle w:val="S1"/>
        <w:shd w:val="clear" w:color="auto" w:fill="FFFFFF"/>
        <w:spacing w:beforeAutospacing="0" w:before="0" w:afterAutospacing="0" w:after="30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sz w:val="26"/>
          <w:szCs w:val="26"/>
          <w:color w:val="3272C0"/>
        </w:rPr>
        <w:instrText> HYPERLINK "https://base.garant.ru/408401807/13e5f39dbdac86e5a4915e063b0a7798/" \l "block_1000"</w:instrText>
      </w:r>
      <w:r>
        <w:rPr>
          <w:sz w:val="26"/>
          <w:szCs w:val="26"/>
          <w:color w:val="3272C0"/>
        </w:rPr>
        <w:fldChar w:fldCharType="separate"/>
      </w:r>
      <w:r>
        <w:rPr>
          <w:color w:val="3272C0"/>
          <w:sz w:val="26"/>
          <w:szCs w:val="26"/>
        </w:rPr>
        <w:t>Перечень</w:t>
      </w:r>
      <w:r>
        <w:rPr>
          <w:sz w:val="26"/>
          <w:szCs w:val="26"/>
          <w:color w:val="3272C0"/>
        </w:rPr>
        <w:fldChar w:fldCharType="end"/>
      </w:r>
      <w:r>
        <w:rPr>
          <w:color w:val="464C55"/>
          <w:sz w:val="26"/>
          <w:szCs w:val="26"/>
        </w:rPr>
        <w:t> указанных медицинских изделий, специализированных продуктов лечебного питания и </w:t>
      </w:r>
      <w:r>
        <w:fldChar w:fldCharType="begin"/>
      </w:r>
      <w:r>
        <w:rPr>
          <w:sz w:val="26"/>
          <w:szCs w:val="26"/>
          <w:color w:val="3272C0"/>
        </w:rPr>
        <w:instrText> HYPERLINK "https://base.garant.ru/407562325/f4e49e50581f8fb571fcdf9b91d0af76/" \l "block_1000"</w:instrText>
      </w:r>
      <w:r>
        <w:rPr>
          <w:sz w:val="26"/>
          <w:szCs w:val="26"/>
          <w:color w:val="3272C0"/>
        </w:rPr>
        <w:fldChar w:fldCharType="separate"/>
      </w:r>
      <w:r>
        <w:rPr>
          <w:color w:val="3272C0"/>
          <w:sz w:val="26"/>
          <w:szCs w:val="26"/>
        </w:rPr>
        <w:t>порядок</w:t>
      </w:r>
      <w:r>
        <w:rPr>
          <w:sz w:val="26"/>
          <w:szCs w:val="26"/>
          <w:color w:val="3272C0"/>
        </w:rPr>
        <w:fldChar w:fldCharType="end"/>
      </w:r>
      <w:r>
        <w:rPr>
          <w:color w:val="464C55"/>
          <w:sz w:val="26"/>
          <w:szCs w:val="26"/>
        </w:rPr>
        <w:t> его формирования утверждаются Правительством Российской Федерации.</w:t>
      </w:r>
    </w:p>
    <w:p>
      <w:pPr>
        <w:pStyle w:val="Normal"/>
        <w:ind w:firstLine="708"/>
        <w:jc w:val="both"/>
        <w:rPr>
          <w:rFonts w:ascii="Times New Roman" w:hAnsi="Times New Roman" w:eastAsia="Times New Roman" w:cs="Times New Roman"/>
          <w:sz w:val="26"/>
          <w:szCs w:val="26"/>
        </w:rPr>
      </w:pPr>
      <w:bookmarkStart w:id="0" w:name="dst744"/>
      <w:bookmarkEnd w:id="0"/>
      <w:r>
        <w:rPr>
          <w:rFonts w:cs="Times New Roman" w:ascii="Times New Roman" w:hAnsi="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sz w:val="26"/>
          <w:szCs w:val="26"/>
        </w:rPr>
        <w:t xml:space="preserve"> </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В Описании объекта закупки  установлены требования к закупаемому товару Диализатор для гемодиализа с полыми волокнами, одноразового использования КТРУ 32.50.50.190-00002842. Указанная позиция КТРУ не содержит характеристик. В связи с чем, при Описании объекта закупки заказчик должен руководствоваться ст.33 Закона о контрактной системе.</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В частности, заказчиком установлены следующие характеристики: материал мембраны (геликсон), совместимость с аппаратом «Искусственная почка» 5008</w:t>
      </w:r>
      <w:r>
        <w:rPr>
          <w:rFonts w:eastAsia="Times New Roman" w:cs="Times New Roman" w:ascii="Times New Roman" w:hAnsi="Times New Roman"/>
          <w:sz w:val="26"/>
          <w:szCs w:val="26"/>
          <w:lang w:val="en-US"/>
        </w:rPr>
        <w:t>S</w:t>
      </w:r>
      <w:r>
        <w:rPr>
          <w:rFonts w:eastAsia="Times New Roman" w:cs="Times New Roman" w:ascii="Times New Roman" w:hAnsi="Times New Roman"/>
          <w:sz w:val="26"/>
          <w:szCs w:val="26"/>
        </w:rPr>
        <w:t xml:space="preserve"> производства «</w:t>
      </w:r>
      <w:r>
        <w:rPr>
          <w:rFonts w:eastAsia="Times New Roman" w:cs="Times New Roman" w:ascii="Times New Roman" w:hAnsi="Times New Roman"/>
          <w:sz w:val="26"/>
          <w:szCs w:val="26"/>
          <w:lang w:val="en-US"/>
        </w:rPr>
        <w:t>Fresenius</w:t>
      </w:r>
      <w:r>
        <w:rPr>
          <w:rFonts w:eastAsia="Times New Roman" w:cs="Times New Roman" w:ascii="Times New Roman" w:hAnsi="Times New Roman"/>
          <w:sz w:val="26"/>
          <w:szCs w:val="26"/>
        </w:rPr>
        <w:t xml:space="preserve"> </w:t>
      </w:r>
      <w:r>
        <w:rPr>
          <w:rFonts w:eastAsia="Times New Roman" w:cs="Times New Roman" w:ascii="Times New Roman" w:hAnsi="Times New Roman"/>
          <w:sz w:val="26"/>
          <w:szCs w:val="26"/>
          <w:lang w:val="en-US"/>
        </w:rPr>
        <w:t>Medical</w:t>
      </w:r>
      <w:r>
        <w:rPr>
          <w:rFonts w:eastAsia="Times New Roman" w:cs="Times New Roman" w:ascii="Times New Roman" w:hAnsi="Times New Roman"/>
          <w:sz w:val="26"/>
          <w:szCs w:val="26"/>
        </w:rPr>
        <w:t xml:space="preserve"> </w:t>
      </w:r>
      <w:r>
        <w:rPr>
          <w:rFonts w:eastAsia="Times New Roman" w:cs="Times New Roman" w:ascii="Times New Roman" w:hAnsi="Times New Roman"/>
          <w:sz w:val="26"/>
          <w:szCs w:val="26"/>
          <w:lang w:val="en-US"/>
        </w:rPr>
        <w:t>Care</w:t>
      </w:r>
      <w:r>
        <w:rPr>
          <w:rFonts w:eastAsia="Times New Roman" w:cs="Times New Roman" w:ascii="Times New Roman" w:hAnsi="Times New Roman"/>
          <w:sz w:val="26"/>
          <w:szCs w:val="26"/>
        </w:rPr>
        <w:t xml:space="preserve">» с блоком </w:t>
      </w:r>
      <w:r>
        <w:rPr>
          <w:rFonts w:eastAsia="Times New Roman" w:cs="Times New Roman" w:ascii="Times New Roman" w:hAnsi="Times New Roman"/>
          <w:sz w:val="26"/>
          <w:szCs w:val="26"/>
          <w:lang w:val="en-US"/>
        </w:rPr>
        <w:t>Onlineplus</w:t>
      </w:r>
      <w:r>
        <w:rPr>
          <w:rFonts w:eastAsia="Times New Roman" w:cs="Times New Roman" w:ascii="Times New Roman" w:hAnsi="Times New Roman"/>
          <w:sz w:val="26"/>
          <w:szCs w:val="26"/>
        </w:rPr>
        <w:t>; эффективная площадь поверхности мембраны ≤1,8м2; эффективная площадь поверхности мембраны ≤1,4 м2; коэффициент ультрафильтрации, метод стерилизации, детальные диапазоны клиренсов по мочевине, креатинину, фосфатам, витамину В12, инулину.</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Заявитель указывает, что совокупности характеристик соответствует товар единственного производителя - </w:t>
      </w:r>
      <w:r>
        <w:rPr>
          <w:rFonts w:eastAsia="Times New Roman" w:cs="Times New Roman" w:ascii="Times New Roman" w:hAnsi="Times New Roman"/>
          <w:sz w:val="26"/>
          <w:szCs w:val="26"/>
          <w:lang w:val="en-US"/>
        </w:rPr>
        <w:t>Fresenius</w:t>
      </w:r>
      <w:r>
        <w:rPr>
          <w:rFonts w:eastAsia="Times New Roman" w:cs="Times New Roman" w:ascii="Times New Roman" w:hAnsi="Times New Roman"/>
          <w:sz w:val="26"/>
          <w:szCs w:val="26"/>
        </w:rPr>
        <w:t xml:space="preserve"> </w:t>
      </w:r>
      <w:r>
        <w:rPr>
          <w:rFonts w:eastAsia="Times New Roman" w:cs="Times New Roman" w:ascii="Times New Roman" w:hAnsi="Times New Roman"/>
          <w:sz w:val="26"/>
          <w:szCs w:val="26"/>
          <w:lang w:val="en-US"/>
        </w:rPr>
        <w:t>Medical</w:t>
      </w:r>
      <w:r>
        <w:rPr>
          <w:rFonts w:eastAsia="Times New Roman" w:cs="Times New Roman" w:ascii="Times New Roman" w:hAnsi="Times New Roman"/>
          <w:sz w:val="26"/>
          <w:szCs w:val="26"/>
        </w:rPr>
        <w:t xml:space="preserve"> </w:t>
      </w:r>
      <w:r>
        <w:rPr>
          <w:rFonts w:eastAsia="Times New Roman" w:cs="Times New Roman" w:ascii="Times New Roman" w:hAnsi="Times New Roman"/>
          <w:sz w:val="26"/>
          <w:szCs w:val="26"/>
          <w:lang w:val="en-US"/>
        </w:rPr>
        <w:t>Care</w:t>
      </w:r>
      <w:r>
        <w:rPr>
          <w:rFonts w:eastAsia="Times New Roman" w:cs="Times New Roman" w:ascii="Times New Roman" w:hAnsi="Times New Roman"/>
          <w:sz w:val="26"/>
          <w:szCs w:val="26"/>
        </w:rPr>
        <w:t xml:space="preserve"> (диализаторы серии </w:t>
      </w:r>
      <w:r>
        <w:rPr>
          <w:rFonts w:eastAsia="Times New Roman" w:cs="Times New Roman" w:ascii="Times New Roman" w:hAnsi="Times New Roman"/>
          <w:sz w:val="26"/>
          <w:szCs w:val="26"/>
          <w:lang w:val="en-US"/>
        </w:rPr>
        <w:t>FX</w:t>
      </w:r>
      <w:r>
        <w:rPr>
          <w:rFonts w:eastAsia="Times New Roman" w:cs="Times New Roman" w:ascii="Times New Roman" w:hAnsi="Times New Roman"/>
          <w:sz w:val="26"/>
          <w:szCs w:val="26"/>
        </w:rPr>
        <w:t>/</w:t>
      </w:r>
      <w:r>
        <w:rPr>
          <w:rFonts w:eastAsia="Times New Roman" w:cs="Times New Roman" w:ascii="Times New Roman" w:hAnsi="Times New Roman"/>
          <w:sz w:val="26"/>
          <w:szCs w:val="26"/>
          <w:lang w:val="en-US"/>
        </w:rPr>
        <w:t>CorDiax</w:t>
      </w:r>
      <w:r>
        <w:rPr>
          <w:rFonts w:eastAsia="Times New Roman" w:cs="Times New Roman" w:ascii="Times New Roman" w:hAnsi="Times New Roman"/>
          <w:sz w:val="26"/>
          <w:szCs w:val="26"/>
        </w:rPr>
        <w:t xml:space="preserve"> с мембраной </w:t>
      </w:r>
      <w:r>
        <w:rPr>
          <w:rFonts w:eastAsia="Times New Roman" w:cs="Times New Roman" w:ascii="Times New Roman" w:hAnsi="Times New Roman"/>
          <w:sz w:val="26"/>
          <w:szCs w:val="26"/>
          <w:lang w:val="en-US"/>
        </w:rPr>
        <w:t>Helixone</w:t>
      </w:r>
      <w:r>
        <w:rPr>
          <w:rFonts w:eastAsia="Times New Roman" w:cs="Times New Roman" w:ascii="Times New Roman" w:hAnsi="Times New Roman"/>
          <w:sz w:val="26"/>
          <w:szCs w:val="26"/>
        </w:rPr>
        <w:t xml:space="preserve">). Геликсон – торговое наименование синтетической мембраны, применяемой исключительно в диализаторах </w:t>
      </w:r>
      <w:r>
        <w:rPr>
          <w:rFonts w:eastAsia="Times New Roman" w:cs="Times New Roman" w:ascii="Times New Roman" w:hAnsi="Times New Roman"/>
          <w:sz w:val="26"/>
          <w:szCs w:val="26"/>
          <w:lang w:val="en-US"/>
        </w:rPr>
        <w:t>Fresenius</w:t>
      </w:r>
      <w:r>
        <w:rPr>
          <w:rFonts w:eastAsia="Times New Roman" w:cs="Times New Roman" w:ascii="Times New Roman" w:hAnsi="Times New Roman"/>
          <w:sz w:val="26"/>
          <w:szCs w:val="26"/>
        </w:rPr>
        <w:t xml:space="preserve">. </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Кроме того, установление заказчиками требований необъективного характера путем излишней детализации описания объекта закупки, вплоть до соответствия товару одного производителя, приводит к ограничению количества участников размещения заказчика, не создает предпосылок для экономии бюджетных средств.</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Согласно п.2 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от 28.06.2017, включение заказчиком в аукционной документацию требований к закупаемому товару, которые свидетельствуют о его конкретном производителе, в отсутствие специфики использования товара, является нарушением положений ст.33 Закона о контрактной системе.</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В соответствии с письмом ФАС России от 18.04.2011 №АК/14239 все синтетические мембраны взаимозаменяемы, крепление диализатора к АИП универсально, любой диализатор можно закрепить на любом АИП.</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В соответствии с п.11 постановления Правительства РФ от 01.04.2022 3552 совместное применение медицинского изделия с расходным материалом осуществляется с учетом особенностей, установленных в эксплуатационной документации производителя (изготовителя) на расходный материал. Совместимость неоригинальных принадлежностей и расходных материалов с медицинскими изделиями, в случае отсутствия указания на такую совместимость в технической эксплуатационной документации производителя (изготовителя) на медицинское изделие, определяется в ходе экспертизы при процедуре государственной регистрации медицинских изделий.</w:t>
      </w:r>
    </w:p>
    <w:p>
      <w:pPr>
        <w:pStyle w:val="Normal"/>
        <w:ind w:firstLine="54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В письме Росздравнадзора от 20.05.2022 №10-30847/22 в случае, если расходные материалы (аналоги), зарегистрированные в установленном порядке, успешно прошли исследования (испытания) с медицинским изделием, что подтверждается информацией, содержащейся в регистрационном досье данных расходных материалов (аналогов), то потребитель вправе использовать их наряду с оригинальными расходными материалами (аналогами) независимо от того, есть ли разрешение производителя основного медицинского изделия.</w:t>
      </w:r>
    </w:p>
    <w:p>
      <w:pPr>
        <w:pStyle w:val="Normal"/>
        <w:ind w:firstLine="54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В Инструкции к АИП «Искусственная почка» 5008</w:t>
      </w:r>
      <w:r>
        <w:rPr>
          <w:rFonts w:eastAsia="Times New Roman" w:cs="Times New Roman" w:ascii="Times New Roman" w:hAnsi="Times New Roman"/>
          <w:sz w:val="26"/>
          <w:szCs w:val="26"/>
          <w:lang w:val="en-US"/>
        </w:rPr>
        <w:t>S</w:t>
      </w:r>
      <w:r>
        <w:rPr>
          <w:rFonts w:eastAsia="Times New Roman" w:cs="Times New Roman" w:ascii="Times New Roman" w:hAnsi="Times New Roman"/>
          <w:sz w:val="26"/>
          <w:szCs w:val="26"/>
        </w:rPr>
        <w:t xml:space="preserve"> производства «</w:t>
      </w:r>
      <w:r>
        <w:rPr>
          <w:rFonts w:eastAsia="Times New Roman" w:cs="Times New Roman" w:ascii="Times New Roman" w:hAnsi="Times New Roman"/>
          <w:sz w:val="26"/>
          <w:szCs w:val="26"/>
          <w:lang w:val="en-US"/>
        </w:rPr>
        <w:t>Fresenius</w:t>
      </w:r>
      <w:r>
        <w:rPr>
          <w:rFonts w:eastAsia="Times New Roman" w:cs="Times New Roman" w:ascii="Times New Roman" w:hAnsi="Times New Roman"/>
          <w:sz w:val="26"/>
          <w:szCs w:val="26"/>
        </w:rPr>
        <w:t xml:space="preserve"> </w:t>
      </w:r>
      <w:r>
        <w:rPr>
          <w:rFonts w:eastAsia="Times New Roman" w:cs="Times New Roman" w:ascii="Times New Roman" w:hAnsi="Times New Roman"/>
          <w:sz w:val="26"/>
          <w:szCs w:val="26"/>
          <w:lang w:val="en-US"/>
        </w:rPr>
        <w:t>Medical</w:t>
      </w:r>
      <w:r>
        <w:rPr>
          <w:rFonts w:eastAsia="Times New Roman" w:cs="Times New Roman" w:ascii="Times New Roman" w:hAnsi="Times New Roman"/>
          <w:sz w:val="26"/>
          <w:szCs w:val="26"/>
        </w:rPr>
        <w:t xml:space="preserve"> </w:t>
      </w:r>
      <w:r>
        <w:rPr>
          <w:rFonts w:eastAsia="Times New Roman" w:cs="Times New Roman" w:ascii="Times New Roman" w:hAnsi="Times New Roman"/>
          <w:sz w:val="26"/>
          <w:szCs w:val="26"/>
          <w:lang w:val="en-US"/>
        </w:rPr>
        <w:t>Care</w:t>
      </w:r>
      <w:r>
        <w:rPr>
          <w:rFonts w:eastAsia="Times New Roman" w:cs="Times New Roman" w:ascii="Times New Roman" w:hAnsi="Times New Roman"/>
          <w:sz w:val="26"/>
          <w:szCs w:val="26"/>
        </w:rPr>
        <w:t xml:space="preserve">» Комиссией не установлен запрет на использование расходных материалов иных производителей. Доказательства существования потребности расходного материала производства </w:t>
      </w:r>
      <w:r>
        <w:rPr>
          <w:rFonts w:eastAsia="Times New Roman" w:cs="Times New Roman" w:ascii="Times New Roman" w:hAnsi="Times New Roman"/>
          <w:sz w:val="26"/>
          <w:szCs w:val="26"/>
          <w:lang w:val="en-US"/>
        </w:rPr>
        <w:t>Fresenius</w:t>
      </w:r>
      <w:r>
        <w:rPr>
          <w:rFonts w:eastAsia="Times New Roman" w:cs="Times New Roman" w:ascii="Times New Roman" w:hAnsi="Times New Roman"/>
          <w:sz w:val="26"/>
          <w:szCs w:val="26"/>
        </w:rPr>
        <w:t xml:space="preserve"> (для конкретного пациента либо необходимости применения конкретного материала мембраны в связи с негативной реакцией пациента на другие материалы мембраны) заказчиком в материалы дела не предоставлены.</w:t>
      </w:r>
    </w:p>
    <w:p>
      <w:pPr>
        <w:pStyle w:val="Normal"/>
        <w:ind w:firstLine="708"/>
        <w:jc w:val="both"/>
        <w:rPr>
          <w:rFonts w:ascii="Times New Roman" w:hAnsi="Times New Roman" w:cs="Times New Roman"/>
          <w:b/>
          <w:b/>
          <w:sz w:val="26"/>
          <w:szCs w:val="26"/>
          <w:u w:val="single"/>
        </w:rPr>
      </w:pPr>
      <w:r>
        <w:rPr>
          <w:rFonts w:cs="Times New Roman" w:ascii="Times New Roman" w:hAnsi="Times New Roman"/>
          <w:sz w:val="26"/>
          <w:szCs w:val="26"/>
        </w:rPr>
        <w:t xml:space="preserve">Кроме того, в соответствии с ч.1.1 ст.33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w:t>
      </w:r>
      <w:r>
        <w:rPr>
          <w:rFonts w:cs="Times New Roman" w:ascii="Times New Roman" w:hAnsi="Times New Roman"/>
          <w:b/>
          <w:sz w:val="26"/>
          <w:szCs w:val="26"/>
          <w:u w:val="single"/>
        </w:rPr>
        <w:t xml:space="preserve">указываются характеристики товара российского происхождения. </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 xml:space="preserve">В извещении закупки в отношении закупаемого товара установлено преимущество. </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С учетом установленных обстоятельств, Комиссия приходит к выводу, что Описание объекта закупки составлено с нарушение п.1) ч.1 ст.33, п.1) ч.2 ст.42, ч.1.1 ст.33 Закона о контрактной системе.</w:t>
      </w:r>
    </w:p>
    <w:p>
      <w:pPr>
        <w:pStyle w:val="Normal"/>
        <w:ind w:firstLine="540"/>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ч.22, ч.23 ст.99, ч.8 ст.106 Закона о контрактной системе,</w:t>
      </w:r>
    </w:p>
    <w:p>
      <w:pPr>
        <w:pStyle w:val="Normal"/>
        <w:ind w:firstLine="540"/>
        <w:jc w:val="both"/>
        <w:rPr>
          <w:rFonts w:ascii="Times New Roman" w:hAnsi="Times New Roman" w:cs="Times New Roman"/>
          <w:sz w:val="26"/>
          <w:szCs w:val="26"/>
        </w:rPr>
      </w:pPr>
      <w:r>
        <w:rPr/>
      </w:r>
    </w:p>
    <w:p>
      <w:pPr>
        <w:pStyle w:val="Normal"/>
        <w:ind w:firstLine="540"/>
        <w:jc w:val="both"/>
        <w:rPr>
          <w:rFonts w:ascii="Times New Roman" w:hAnsi="Times New Roman" w:cs="Times New Roman"/>
          <w:sz w:val="26"/>
          <w:szCs w:val="26"/>
        </w:rPr>
      </w:pPr>
      <w:r>
        <w:rPr/>
      </w:r>
    </w:p>
    <w:p>
      <w:pPr>
        <w:pStyle w:val="Normal"/>
        <w:widowControl w:val="false"/>
        <w:numPr>
          <w:ilvl w:val="0"/>
          <w:numId w:val="0"/>
        </w:numPr>
        <w:spacing w:lineRule="auto" w:line="240" w:before="0" w:after="0"/>
        <w:ind w:left="0" w:firstLine="540"/>
        <w:jc w:val="center"/>
        <w:outlineLvl w:val="2"/>
        <w:rPr>
          <w:rFonts w:ascii="Times New Roman" w:hAnsi="Times New Roman" w:cs="Times New Roman"/>
          <w:sz w:val="26"/>
          <w:szCs w:val="26"/>
        </w:rPr>
      </w:pPr>
      <w:r>
        <w:rPr>
          <w:rFonts w:cs="Times New Roman" w:ascii="Times New Roman" w:hAnsi="Times New Roman"/>
          <w:sz w:val="26"/>
          <w:szCs w:val="26"/>
        </w:rPr>
        <w:t>РЕШИЛА:</w:t>
      </w:r>
    </w:p>
    <w:p>
      <w:pPr>
        <w:pStyle w:val="Normal"/>
        <w:widowControl w:val="false"/>
        <w:numPr>
          <w:ilvl w:val="0"/>
          <w:numId w:val="0"/>
        </w:numPr>
        <w:spacing w:lineRule="auto" w:line="240" w:before="0" w:after="0"/>
        <w:ind w:left="0" w:firstLine="540"/>
        <w:jc w:val="both"/>
        <w:outlineLvl w:val="2"/>
        <w:rPr>
          <w:rFonts w:ascii="Times New Roman" w:hAnsi="Times New Roman" w:cs="Times New Roman"/>
          <w:sz w:val="26"/>
          <w:szCs w:val="26"/>
        </w:rPr>
      </w:pPr>
      <w:r>
        <w:rPr>
          <w:rFonts w:cs="Times New Roman" w:ascii="Times New Roman" w:hAnsi="Times New Roman"/>
          <w:sz w:val="26"/>
          <w:szCs w:val="26"/>
        </w:rPr>
      </w:r>
    </w:p>
    <w:p>
      <w:pPr>
        <w:pStyle w:val="ListParagraph"/>
        <w:numPr>
          <w:ilvl w:val="0"/>
          <w:numId w:val="1"/>
        </w:numPr>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Признать жалобу ИП Баранзаев Б.Б. обоснованной.</w:t>
      </w:r>
    </w:p>
    <w:p>
      <w:pPr>
        <w:pStyle w:val="ListParagraph"/>
        <w:numPr>
          <w:ilvl w:val="0"/>
          <w:numId w:val="1"/>
        </w:numPr>
        <w:jc w:val="both"/>
        <w:rPr>
          <w:rFonts w:ascii="Times New Roman" w:hAnsi="Times New Roman" w:cs="Times New Roman"/>
          <w:sz w:val="26"/>
          <w:szCs w:val="26"/>
        </w:rPr>
      </w:pPr>
      <w:r>
        <w:rPr>
          <w:rFonts w:eastAsia="Times New Roman" w:cs="Times New Roman" w:ascii="Times New Roman" w:hAnsi="Times New Roman"/>
          <w:sz w:val="26"/>
          <w:szCs w:val="26"/>
        </w:rPr>
        <w:t xml:space="preserve">Признать в действиях заказчика - ГБУЗ «Городская больница №1 г. Новороссийск» МЗ КК нарушение </w:t>
      </w:r>
      <w:r>
        <w:rPr>
          <w:rFonts w:cs="Times New Roman" w:ascii="Times New Roman" w:hAnsi="Times New Roman"/>
          <w:sz w:val="26"/>
          <w:szCs w:val="26"/>
        </w:rPr>
        <w:t>п.1) ч.1 ст.33, п.1) ч.2 ст.42, ч.1.1 ст.33</w:t>
      </w:r>
      <w:bookmarkStart w:id="1" w:name="_GoBack"/>
      <w:bookmarkEnd w:id="1"/>
      <w:r>
        <w:rPr>
          <w:rFonts w:cs="Times New Roman" w:ascii="Times New Roman" w:hAnsi="Times New Roman"/>
          <w:sz w:val="26"/>
          <w:szCs w:val="26"/>
        </w:rPr>
        <w:t xml:space="preserve"> Закона о контрактной системе.</w:t>
      </w:r>
    </w:p>
    <w:p>
      <w:pPr>
        <w:pStyle w:val="ListParagraph"/>
        <w:numPr>
          <w:ilvl w:val="0"/>
          <w:numId w:val="1"/>
        </w:numPr>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Заказчику (комиссии) - ГБУЗ «Городская больница №1 г. Новороссийск» МЗ КК выдать предписание об устранении нарушений Закона о контрактной системе.</w:t>
      </w:r>
    </w:p>
    <w:p>
      <w:pPr>
        <w:pStyle w:val="ListParagraph"/>
        <w:numPr>
          <w:ilvl w:val="0"/>
          <w:numId w:val="1"/>
        </w:numPr>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Передать материалы дела уполномоченному должностному лицу для рассмотрения вопроса о возбуждении административного производства по ч.5 ст.7.30.1 КоАП.</w:t>
      </w:r>
    </w:p>
    <w:p>
      <w:pPr>
        <w:pStyle w:val="ListParagraph"/>
        <w:ind w:left="1260" w:hanging="0"/>
        <w:jc w:val="both"/>
        <w:rPr>
          <w:rFonts w:ascii="Times New Roman" w:hAnsi="Times New Roman" w:cs="Times New Roman"/>
          <w:sz w:val="26"/>
          <w:szCs w:val="26"/>
        </w:rPr>
      </w:pPr>
      <w:r>
        <w:rPr>
          <w:rFonts w:cs="Times New Roman" w:ascii="Times New Roman" w:hAnsi="Times New Roman"/>
          <w:sz w:val="26"/>
          <w:szCs w:val="26"/>
        </w:rPr>
        <w:t>Настоящее решение может быть обжаловано в арбитражном суде в течение трех месяцев в установленном законом порядке.</w:t>
      </w:r>
    </w:p>
    <w:p>
      <w:pPr>
        <w:pStyle w:val="ListParagraph"/>
        <w:tabs>
          <w:tab w:val="clear" w:pos="708"/>
          <w:tab w:val="left" w:pos="3889" w:leader="none"/>
        </w:tabs>
        <w:ind w:left="900" w:hanging="0"/>
        <w:jc w:val="both"/>
        <w:rPr>
          <w:rFonts w:ascii="Times New Roman" w:hAnsi="Times New Roman" w:cs="Times New Roman"/>
          <w:sz w:val="26"/>
          <w:szCs w:val="26"/>
        </w:rPr>
      </w:pPr>
      <w:r>
        <w:rPr>
          <w:rFonts w:cs="Times New Roman" w:ascii="Times New Roman" w:hAnsi="Times New Roman"/>
          <w:sz w:val="26"/>
          <w:szCs w:val="26"/>
        </w:rPr>
        <w:tab/>
      </w:r>
    </w:p>
    <w:p>
      <w:pPr>
        <w:pStyle w:val="ListParagraph"/>
        <w:tabs>
          <w:tab w:val="clear" w:pos="708"/>
          <w:tab w:val="left" w:pos="3889" w:leader="none"/>
        </w:tabs>
        <w:ind w:left="900" w:hanging="0"/>
        <w:jc w:val="both"/>
        <w:rPr>
          <w:rFonts w:ascii="Times New Roman" w:hAnsi="Times New Roman" w:cs="Times New Roman"/>
          <w:sz w:val="26"/>
          <w:szCs w:val="26"/>
        </w:rPr>
      </w:pPr>
      <w:r>
        <w:rPr>
          <w:rFonts w:cs="Times New Roman" w:ascii="Times New Roman" w:hAnsi="Times New Roman"/>
          <w:sz w:val="26"/>
          <w:szCs w:val="26"/>
        </w:rPr>
      </w:r>
    </w:p>
    <w:p>
      <w:pPr>
        <w:pStyle w:val="ListParagraph"/>
        <w:spacing w:before="0" w:after="200"/>
        <w:ind w:left="900" w:hanging="0"/>
        <w:contextualSpacing/>
        <w:jc w:val="both"/>
        <w:rPr>
          <w:rFonts w:ascii="Times New Roman" w:hAnsi="Times New Roman" w:cs="Times New Roman"/>
          <w:sz w:val="26"/>
          <w:szCs w:val="26"/>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2"/>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f6393"/>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0"/>
    <w:uiPriority w:val="9"/>
    <w:qFormat/>
    <w:rsid w:val="0063166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link w:val="20"/>
    <w:uiPriority w:val="9"/>
    <w:qFormat/>
    <w:rsid w:val="00457432"/>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5">
    <w:name w:val="Heading 5"/>
    <w:basedOn w:val="Normal"/>
    <w:next w:val="Normal"/>
    <w:link w:val="50"/>
    <w:uiPriority w:val="9"/>
    <w:semiHidden/>
    <w:unhideWhenUsed/>
    <w:qFormat/>
    <w:rsid w:val="00ad4d22"/>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unhideWhenUsed/>
    <w:rsid w:val="003f6393"/>
    <w:rPr>
      <w:color w:val="0000FF"/>
      <w:u w:val="single"/>
    </w:rPr>
  </w:style>
  <w:style w:type="character" w:styleId="21" w:customStyle="1">
    <w:name w:val="Заголовок 2 Знак"/>
    <w:basedOn w:val="DefaultParagraphFont"/>
    <w:link w:val="2"/>
    <w:uiPriority w:val="9"/>
    <w:qFormat/>
    <w:rsid w:val="00457432"/>
    <w:rPr>
      <w:rFonts w:ascii="Times New Roman" w:hAnsi="Times New Roman" w:eastAsia="Times New Roman" w:cs="Times New Roman"/>
      <w:b/>
      <w:bCs/>
      <w:sz w:val="36"/>
      <w:szCs w:val="36"/>
      <w:lang w:eastAsia="ru-RU"/>
    </w:rPr>
  </w:style>
  <w:style w:type="character" w:styleId="Sectioninfo" w:customStyle="1">
    <w:name w:val="section__info"/>
    <w:basedOn w:val="DefaultParagraphFont"/>
    <w:qFormat/>
    <w:rsid w:val="00457432"/>
    <w:rPr/>
  </w:style>
  <w:style w:type="character" w:styleId="Sectiontitle" w:customStyle="1">
    <w:name w:val="section__title"/>
    <w:basedOn w:val="DefaultParagraphFont"/>
    <w:qFormat/>
    <w:rsid w:val="00457432"/>
    <w:rPr/>
  </w:style>
  <w:style w:type="character" w:styleId="Timezonename" w:customStyle="1">
    <w:name w:val="timezonename"/>
    <w:basedOn w:val="DefaultParagraphFont"/>
    <w:qFormat/>
    <w:rsid w:val="00457432"/>
    <w:rPr/>
  </w:style>
  <w:style w:type="character" w:styleId="Z" w:customStyle="1">
    <w:name w:val="z-Начало формы Знак"/>
    <w:basedOn w:val="DefaultParagraphFont"/>
    <w:link w:val="z-"/>
    <w:uiPriority w:val="99"/>
    <w:semiHidden/>
    <w:qFormat/>
    <w:rsid w:val="00457432"/>
    <w:rPr>
      <w:rFonts w:ascii="Arial" w:hAnsi="Arial" w:eastAsia="Times New Roman" w:cs="Arial"/>
      <w:vanish/>
      <w:sz w:val="16"/>
      <w:szCs w:val="16"/>
      <w:lang w:eastAsia="ru-RU"/>
    </w:rPr>
  </w:style>
  <w:style w:type="character" w:styleId="Z1" w:customStyle="1">
    <w:name w:val="z-Конец формы Знак"/>
    <w:basedOn w:val="DefaultParagraphFont"/>
    <w:link w:val="z-1"/>
    <w:uiPriority w:val="99"/>
    <w:semiHidden/>
    <w:qFormat/>
    <w:rsid w:val="00457432"/>
    <w:rPr>
      <w:rFonts w:ascii="Arial" w:hAnsi="Arial" w:eastAsia="Times New Roman" w:cs="Arial"/>
      <w:vanish/>
      <w:sz w:val="16"/>
      <w:szCs w:val="16"/>
      <w:lang w:eastAsia="ru-RU"/>
    </w:rPr>
  </w:style>
  <w:style w:type="character" w:styleId="11" w:customStyle="1">
    <w:name w:val="Заголовок 1 Знак"/>
    <w:basedOn w:val="DefaultParagraphFont"/>
    <w:link w:val="1"/>
    <w:uiPriority w:val="9"/>
    <w:qFormat/>
    <w:rsid w:val="0063166c"/>
    <w:rPr>
      <w:rFonts w:ascii="Cambria" w:hAnsi="Cambria" w:eastAsia="" w:cs="" w:asciiTheme="majorHAnsi" w:cstheme="majorBidi" w:eastAsiaTheme="majorEastAsia" w:hAnsiTheme="majorHAnsi"/>
      <w:color w:val="365F91" w:themeColor="accent1" w:themeShade="bf"/>
      <w:sz w:val="32"/>
      <w:szCs w:val="32"/>
    </w:rPr>
  </w:style>
  <w:style w:type="character" w:styleId="51" w:customStyle="1">
    <w:name w:val="Заголовок 5 Знак"/>
    <w:basedOn w:val="DefaultParagraphFont"/>
    <w:link w:val="5"/>
    <w:uiPriority w:val="9"/>
    <w:semiHidden/>
    <w:qFormat/>
    <w:rsid w:val="00ad4d22"/>
    <w:rPr>
      <w:rFonts w:ascii="Cambria" w:hAnsi="Cambria" w:eastAsia="" w:cs="" w:asciiTheme="majorHAnsi" w:cstheme="majorBidi" w:eastAsiaTheme="majorEastAsia" w:hAnsiTheme="majorHAnsi"/>
      <w:color w:val="365F91" w:themeColor="accent1" w:themeShade="bf"/>
    </w:rPr>
  </w:style>
  <w:style w:type="character" w:styleId="ConsPlusNormal" w:customStyle="1">
    <w:name w:val="ConsPlusNormal Знак"/>
    <w:link w:val="ConsPlusNormal0"/>
    <w:qFormat/>
    <w:locked/>
    <w:rsid w:val="00f07904"/>
    <w:rPr>
      <w:rFonts w:ascii="Arial" w:hAnsi="Arial" w:cs="Arial"/>
    </w:rPr>
  </w:style>
  <w:style w:type="character" w:styleId="Style12" w:customStyle="1">
    <w:name w:val="Основной текст_"/>
    <w:basedOn w:val="DefaultParagraphFont"/>
    <w:link w:val="11"/>
    <w:qFormat/>
    <w:locked/>
    <w:rsid w:val="00f07904"/>
    <w:rPr>
      <w:rFonts w:ascii="Times New Roman" w:hAnsi="Times New Roman" w:eastAsia="Times New Roman" w:cs="Times New Roman"/>
    </w:rPr>
  </w:style>
  <w:style w:type="character" w:styleId="Style13" w:customStyle="1">
    <w:name w:val="Текст выноски Знак"/>
    <w:basedOn w:val="DefaultParagraphFont"/>
    <w:link w:val="a7"/>
    <w:uiPriority w:val="99"/>
    <w:semiHidden/>
    <w:qFormat/>
    <w:rsid w:val="0080449b"/>
    <w:rPr>
      <w:rFonts w:ascii="Tahoma" w:hAnsi="Tahoma" w:cs="Tahoma"/>
      <w:sz w:val="16"/>
      <w:szCs w:val="16"/>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paragraph" w:styleId="ListParagraph">
    <w:name w:val="List Paragraph"/>
    <w:basedOn w:val="Normal"/>
    <w:uiPriority w:val="34"/>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HTMLTopofForm">
    <w:name w:val="HTML Top of Form"/>
    <w:basedOn w:val="Normal"/>
    <w:next w:val="Normal"/>
    <w:link w:val="z-0"/>
    <w:uiPriority w:val="99"/>
    <w:semiHidden/>
    <w:unhideWhenUsed/>
    <w:qFormat/>
    <w:rsid w:val="00457432"/>
    <w:pPr>
      <w:pBdr>
        <w:bottom w:val="single" w:sz="6" w:space="1" w:color="000000"/>
      </w:pBdr>
      <w:spacing w:lineRule="auto" w:line="240" w:before="0" w:after="0"/>
      <w:jc w:val="center"/>
    </w:pPr>
    <w:rPr>
      <w:rFonts w:ascii="Arial" w:hAnsi="Arial" w:eastAsia="Times New Roman" w:cs="Arial"/>
      <w:vanish/>
      <w:sz w:val="16"/>
      <w:szCs w:val="16"/>
      <w:lang w:eastAsia="ru-RU"/>
    </w:rPr>
  </w:style>
  <w:style w:type="paragraph" w:styleId="HTMLBottomofForm">
    <w:name w:val="HTML Bottom of Form"/>
    <w:basedOn w:val="Normal"/>
    <w:next w:val="Normal"/>
    <w:link w:val="z-2"/>
    <w:uiPriority w:val="99"/>
    <w:semiHidden/>
    <w:unhideWhenUsed/>
    <w:qFormat/>
    <w:rsid w:val="00457432"/>
    <w:pPr>
      <w:pBdr>
        <w:top w:val="single" w:sz="6" w:space="1" w:color="000000"/>
      </w:pBdr>
      <w:spacing w:lineRule="auto" w:line="240" w:before="0" w:after="0"/>
      <w:jc w:val="center"/>
    </w:pPr>
    <w:rPr>
      <w:rFonts w:ascii="Arial" w:hAnsi="Arial" w:eastAsia="Times New Roman" w:cs="Arial"/>
      <w:vanish/>
      <w:sz w:val="16"/>
      <w:szCs w:val="16"/>
      <w:lang w:eastAsia="ru-RU"/>
    </w:rPr>
  </w:style>
  <w:style w:type="paragraph" w:styleId="S9" w:customStyle="1">
    <w:name w:val="s_9"/>
    <w:basedOn w:val="Normal"/>
    <w:qFormat/>
    <w:rsid w:val="00736ef7"/>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ad4d22"/>
    <w:pPr>
      <w:spacing w:lineRule="auto" w:line="240" w:beforeAutospacing="1" w:afterAutospacing="1"/>
    </w:pPr>
    <w:rPr>
      <w:rFonts w:ascii="Times New Roman" w:hAnsi="Times New Roman" w:eastAsia="Times New Roman" w:cs="Times New Roman"/>
      <w:sz w:val="24"/>
      <w:szCs w:val="24"/>
      <w:lang w:eastAsia="ru-RU"/>
    </w:rPr>
  </w:style>
  <w:style w:type="paragraph" w:styleId="ConsPlusNormal1" w:customStyle="1">
    <w:name w:val="ConsPlusNormal"/>
    <w:link w:val="ConsPlusNormal"/>
    <w:qFormat/>
    <w:rsid w:val="00f07904"/>
    <w:pPr>
      <w:widowControl/>
      <w:suppressAutoHyphens w:val="true"/>
      <w:bidi w:val="0"/>
      <w:spacing w:lineRule="auto" w:line="240" w:before="0" w:after="0"/>
      <w:jc w:val="left"/>
    </w:pPr>
    <w:rPr>
      <w:rFonts w:ascii="Arial" w:hAnsi="Arial" w:eastAsia="Calibri" w:cs="Arial" w:eastAsiaTheme="minorHAnsi"/>
      <w:color w:val="auto"/>
      <w:kern w:val="0"/>
      <w:sz w:val="22"/>
      <w:szCs w:val="22"/>
      <w:lang w:val="ru-RU" w:eastAsia="en-US" w:bidi="ar-SA"/>
    </w:rPr>
  </w:style>
  <w:style w:type="paragraph" w:styleId="12" w:customStyle="1">
    <w:name w:val="Основной текст1"/>
    <w:basedOn w:val="Normal"/>
    <w:link w:val="a6"/>
    <w:qFormat/>
    <w:rsid w:val="00f07904"/>
    <w:pPr>
      <w:widowControl w:val="false"/>
      <w:spacing w:lineRule="auto" w:line="360" w:before="0" w:after="0"/>
      <w:ind w:firstLine="400"/>
    </w:pPr>
    <w:rPr>
      <w:rFonts w:ascii="Times New Roman" w:hAnsi="Times New Roman" w:eastAsia="Times New Roman" w:cs="Times New Roman"/>
    </w:rPr>
  </w:style>
  <w:style w:type="paragraph" w:styleId="BalloonText">
    <w:name w:val="Balloon Text"/>
    <w:basedOn w:val="Normal"/>
    <w:link w:val="a8"/>
    <w:uiPriority w:val="99"/>
    <w:semiHidden/>
    <w:unhideWhenUsed/>
    <w:qFormat/>
    <w:rsid w:val="0080449b"/>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2CAAC-D1BC-424B-8A5B-2CD707EA7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2563</TotalTime>
  <Application>LibreOffice/7.2.5.2$Windows_X86_64 LibreOffice_project/499f9727c189e6ef3471021d6132d4c694f357e5</Application>
  <AppVersion>15.0000</AppVersion>
  <Pages>6</Pages>
  <Words>1668</Words>
  <Characters>9509</Characters>
  <CharactersWithSpaces>11155</CharactersWithSpaces>
  <Paragraphs>22</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2026-05-19T10:27:05Z</dcterms:modified>
  <cp:revision>1779</cp:revision>
  <dc:subject/>
  <dc:title/>
</cp:coreProperties>
</file>

<file path=docProps/custom.xml><?xml version="1.0" encoding="utf-8"?>
<Properties xmlns="http://schemas.openxmlformats.org/officeDocument/2006/custom-properties" xmlns:vt="http://schemas.openxmlformats.org/officeDocument/2006/docPropsVTypes"/>
</file>