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4"/>
          <w:szCs w:val="24"/>
        </w:rPr>
      </w:pPr>
      <w:r>
        <w:rPr>
          <w:rFonts w:cs="Times New Roman" w:ascii="Times New Roman" w:hAnsi="Times New Roman"/>
          <w:sz w:val="24"/>
          <w:szCs w:val="24"/>
        </w:rPr>
        <w:t xml:space="preserve">РЕШЕНИЕ </w:t>
      </w:r>
    </w:p>
    <w:p>
      <w:pPr>
        <w:pStyle w:val="Normal"/>
        <w:jc w:val="center"/>
        <w:rPr>
          <w:rFonts w:ascii="Times New Roman" w:hAnsi="Times New Roman" w:cs="Times New Roman"/>
          <w:sz w:val="24"/>
          <w:szCs w:val="24"/>
        </w:rPr>
      </w:pPr>
      <w:r>
        <w:rPr>
          <w:rFonts w:cs="Times New Roman" w:ascii="Times New Roman" w:hAnsi="Times New Roman"/>
          <w:sz w:val="24"/>
          <w:szCs w:val="24"/>
        </w:rPr>
        <w:t>по делу № 023/06/105-2095/2026</w:t>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19 мая 2026 года                                                                                                         г. Краснодар</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r>
      <w:r>
        <w:rPr>
          <w:rFonts w:eastAsia="Times New Roman" w:cs="Times New Roman" w:ascii="Times New Roman" w:hAnsi="Times New Roman"/>
          <w:sz w:val="24"/>
          <w:szCs w:val="24"/>
        </w:rPr>
        <w:t>рассмотрев жалобу ООО «Ренессанс-мед» на действия  заказчика – МЗ КК, уполномоченного учреждения – ГКУ КК ДГЗ при проведении электронного аукциона: «Поставка системы эндоскопической визуализации; шифр регионального проекта Краснодарского края 00Д1015402055» (извещение № 0818500000826002883) в части нарушения законодательства о контрактной системе,</w:t>
      </w:r>
    </w:p>
    <w:p>
      <w:pPr>
        <w:pStyle w:val="Normal"/>
        <w:jc w:val="center"/>
        <w:rPr>
          <w:rFonts w:ascii="Times New Roman" w:hAnsi="Times New Roman" w:cs="Times New Roman"/>
          <w:sz w:val="24"/>
          <w:szCs w:val="24"/>
        </w:rPr>
      </w:pPr>
      <w:r>
        <w:rPr>
          <w:rFonts w:cs="Times New Roman" w:ascii="Times New Roman" w:hAnsi="Times New Roman"/>
          <w:sz w:val="24"/>
          <w:szCs w:val="24"/>
        </w:rPr>
        <w:t>УСТАНОВИЛА:</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 xml:space="preserve">Заявитель указывает, что закупка содержит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под совокупность установленных характеристик: блок управления камерой, головки камеры, источник света, светодиодный кабель, цитоскоп 1, цитоскоп 2, уретроскоп подходит товар единственного производителя Карл Шторц СЕ и КО КГ; под совокупность установленных характеристик: аппарат электрохирургический подходит только аппарат производителя «БОВА-электроник ГмбХ&amp;Ко.КГ». Также заказчиком закупается система, то входящие элементы в систему должны быть совместимы между собой. </w:t>
      </w:r>
    </w:p>
    <w:p>
      <w:pPr>
        <w:pStyle w:val="Normal"/>
        <w:jc w:val="both"/>
        <w:rPr>
          <w:rFonts w:ascii="Times New Roman" w:hAnsi="Times New Roman" w:cs="Times New Roman"/>
          <w:sz w:val="24"/>
          <w:szCs w:val="24"/>
        </w:rPr>
      </w:pPr>
      <w:r>
        <w:rPr>
          <w:rFonts w:cs="Times New Roman" w:ascii="Times New Roman" w:hAnsi="Times New Roman"/>
          <w:sz w:val="24"/>
          <w:szCs w:val="24"/>
        </w:rPr>
        <w:tab/>
        <w:t>Заказчиком, уполномоченным учреждением предоставлены письменные пояснения, согласно которым извещение соответствует положениям Закона о контрактной системе. Описанию объекта закупки соответствует товар не менее двух производителей.</w:t>
      </w:r>
    </w:p>
    <w:p>
      <w:pPr>
        <w:pStyle w:val="Normal"/>
        <w:jc w:val="both"/>
        <w:rPr>
          <w:rFonts w:ascii="Times New Roman" w:hAnsi="Times New Roman" w:cs="Times New Roman"/>
          <w:sz w:val="24"/>
          <w:szCs w:val="24"/>
        </w:rPr>
      </w:pPr>
      <w:r>
        <w:rPr>
          <w:rFonts w:cs="Times New Roman" w:ascii="Times New Roman" w:hAnsi="Times New Roman"/>
          <w:sz w:val="24"/>
          <w:szCs w:val="24"/>
        </w:rPr>
        <w:tab/>
        <w:t>Рассмотрев представленные материалы, Комиссия пришла к следующим выводам.</w:t>
      </w:r>
    </w:p>
    <w:p>
      <w:pPr>
        <w:pStyle w:val="Normal"/>
        <w:jc w:val="both"/>
        <w:rPr>
          <w:rFonts w:ascii="Times New Roman" w:hAnsi="Times New Roman" w:cs="Times New Roman"/>
          <w:sz w:val="24"/>
          <w:szCs w:val="24"/>
        </w:rPr>
      </w:pPr>
      <w:r>
        <w:rPr>
          <w:rFonts w:cs="Times New Roman" w:ascii="Times New Roman" w:hAnsi="Times New Roman"/>
          <w:sz w:val="24"/>
          <w:szCs w:val="24"/>
        </w:rPr>
        <w:tab/>
        <w:t xml:space="preserve">Уполномоченным учреждением – ГКУ КК ДГЗ после проверки куратором заявки заказчика на соответствие требованиям законодательства о контрактной системе в ЕИС 04.05.2026 размещено извещение о проведении </w:t>
      </w:r>
      <w:r>
        <w:rPr>
          <w:rFonts w:eastAsia="Times New Roman" w:cs="Times New Roman" w:ascii="Times New Roman" w:hAnsi="Times New Roman"/>
          <w:sz w:val="24"/>
          <w:szCs w:val="24"/>
        </w:rPr>
        <w:t>электронного аукциона: «Поставка системы эндоскопической визуализации; шифр регионального проекта Краснодарского края 00Д1015402055» (извещение № 0818500000826002883) с НМЦК 212 688 000,00 рублей. Заказчик – МЗ КК.</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1) описание объекта закупки в соответствии со статьей 33 настоящего Федерального закона;</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rFonts w:ascii="Times New Roman" w:hAnsi="Times New Roman" w:cs="Times New Roman"/>
          <w:sz w:val="24"/>
          <w:szCs w:val="24"/>
        </w:rPr>
      </w:pPr>
      <w:r>
        <w:rPr>
          <w:rFonts w:cs="Times New Roman" w:ascii="Times New Roman" w:hAnsi="Times New Roman"/>
          <w:sz w:val="24"/>
          <w:szCs w:val="24"/>
        </w:rPr>
        <w:t>5) проект контракта.</w:t>
      </w:r>
    </w:p>
    <w:p>
      <w:pPr>
        <w:pStyle w:val="S1"/>
        <w:shd w:val="clear" w:color="auto" w:fill="FFFFFF"/>
        <w:spacing w:beforeAutospacing="0" w:before="0" w:afterAutospacing="0" w:after="300"/>
        <w:ind w:firstLine="708"/>
        <w:jc w:val="both"/>
        <w:rPr>
          <w:color w:val="464C55"/>
        </w:rPr>
      </w:pPr>
      <w:r>
        <w:rPr>
          <w:color w:val="22272F"/>
        </w:rPr>
        <w:t>Согласно п.1) ч.1 ст.33 Закона о контрактной системе </w:t>
      </w:r>
      <w:r>
        <w:rPr>
          <w:color w:val="464C55"/>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464C55"/>
        </w:rPr>
      </w:pPr>
      <w:r>
        <w:rPr>
          <w:color w:val="464C55"/>
        </w:rPr>
        <w:t>а) сопровождение такого указания словами "или эквивалент";</w:t>
      </w:r>
    </w:p>
    <w:p>
      <w:pPr>
        <w:pStyle w:val="S1"/>
        <w:shd w:val="clear" w:color="auto" w:fill="FFFFFF"/>
        <w:spacing w:beforeAutospacing="0" w:before="0" w:afterAutospacing="0" w:after="300"/>
        <w:jc w:val="both"/>
        <w:rPr>
          <w:color w:val="464C55"/>
        </w:rPr>
      </w:pPr>
      <w:r>
        <w:rPr>
          <w:color w:val="464C55"/>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464C55"/>
        </w:rPr>
      </w:pPr>
      <w:r>
        <w:rPr>
          <w:color w:val="464C55"/>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color w:val="464C55"/>
        </w:rPr>
      </w:pPr>
      <w:r>
        <w:rPr>
          <w:color w:val="464C55"/>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color w:val="3272C0"/>
        </w:rPr>
        <w:instrText> HYPERLINK "https://base.garant.ru/408401807/13e5f39dbdac86e5a4915e063b0a7798/" \l "block_1000"</w:instrText>
      </w:r>
      <w:r>
        <w:rPr>
          <w:color w:val="3272C0"/>
        </w:rPr>
        <w:fldChar w:fldCharType="separate"/>
      </w:r>
      <w:r>
        <w:rPr>
          <w:color w:val="3272C0"/>
        </w:rPr>
        <w:t>Перечень</w:t>
      </w:r>
      <w:r>
        <w:rPr>
          <w:color w:val="3272C0"/>
        </w:rPr>
        <w:fldChar w:fldCharType="end"/>
      </w:r>
      <w:r>
        <w:rPr>
          <w:color w:val="464C55"/>
        </w:rPr>
        <w:t> указанных медицинских изделий, специализированных продуктов лечебного питания и </w:t>
      </w:r>
      <w:r>
        <w:fldChar w:fldCharType="begin"/>
      </w:r>
      <w:r>
        <w:rPr>
          <w:color w:val="3272C0"/>
        </w:rPr>
        <w:instrText> HYPERLINK "https://base.garant.ru/407562325/f4e49e50581f8fb571fcdf9b91d0af76/" \l "block_1000"</w:instrText>
      </w:r>
      <w:r>
        <w:rPr>
          <w:color w:val="3272C0"/>
        </w:rPr>
        <w:fldChar w:fldCharType="separate"/>
      </w:r>
      <w:r>
        <w:rPr>
          <w:color w:val="3272C0"/>
        </w:rPr>
        <w:t>порядок</w:t>
      </w:r>
      <w:r>
        <w:rPr>
          <w:color w:val="3272C0"/>
        </w:rPr>
        <w:fldChar w:fldCharType="end"/>
      </w:r>
      <w:r>
        <w:rPr>
          <w:color w:val="464C55"/>
        </w:rPr>
        <w:t> его формирования утверждаются Правительством Российской Федерации.</w:t>
      </w:r>
    </w:p>
    <w:p>
      <w:pPr>
        <w:pStyle w:val="Normal"/>
        <w:ind w:firstLine="708"/>
        <w:jc w:val="both"/>
        <w:rPr>
          <w:rFonts w:ascii="Times New Roman" w:hAnsi="Times New Roman" w:eastAsia="Times New Roman" w:cs="Times New Roman"/>
          <w:sz w:val="24"/>
          <w:szCs w:val="24"/>
        </w:rPr>
      </w:pPr>
      <w:bookmarkStart w:id="0" w:name="dst744"/>
      <w:bookmarkEnd w:id="0"/>
      <w:r>
        <w:rPr>
          <w:rFonts w:cs="Times New Roman" w:ascii="Times New Roman" w:hAnsi="Times New Roman"/>
          <w:sz w:val="24"/>
          <w:szCs w:val="24"/>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sz w:val="24"/>
          <w:szCs w:val="24"/>
        </w:rPr>
        <w:t xml:space="preserve"> </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Согласно ч.1.1 ст.33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В составе извещения заказчиком размещено уведомление от отсутствии с реестре Минпромторга товара с характеристиками, необходимыми заказчику.</w:t>
      </w:r>
    </w:p>
    <w:p>
      <w:pPr>
        <w:pStyle w:val="Normal"/>
        <w:ind w:firstLine="5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форме.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ind w:firstLine="5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При описании объекта закупки заказчиком использовалась позиция КТРУ 26.60.12.119-00000374 Система эндоскопической визуализации. В связи с отсутствие в позиции характеристик Описание объекта закупки осуществляется по правилами, предусмотренным ст.33 Закона о контрактной системе.</w:t>
      </w:r>
    </w:p>
    <w:p>
      <w:pPr>
        <w:pStyle w:val="Normal"/>
        <w:ind w:firstLine="5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Комиссией установлено, что в позиции КТРУ обозначенный товар имеет следующее назначение: 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для проведения осмотра/терапевтических процедур.</w:t>
      </w:r>
    </w:p>
    <w:p>
      <w:pPr>
        <w:pStyle w:val="Normal"/>
        <w:ind w:firstLine="5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Заказчик, руководствуясь стандартами оснащения эндоскопического кабинета в соответствии с Приложением №3 к Правилам проведения эндоскопических исследований, утвержденный приказом Министерства здравоохранения РФ от 06.12.2017 №974н. В соответствии с ГОСТ Р 56278-2014 Национальный стандарт Российской Федерации. Изделия медицинские электрические. Видеоэндоскопические комплексы с установками для ультразвуковой и флуоресцентной эндоскопии. Технические требования для государственных закупок допускается включение и/или исключением рекомендуемых требований в тендере на закупку ВЭ комплекса, приведенных в таблице 1 по согласованию с заказчиком в соответствии с предусмотренным применением в медицинском учреждении. Закон о контрактной системе не предусматривает ограничения по включению в извещение требований к объекту закупки, являющемуся значимым для заказчика. Представитель заказчика пояснил, что при проведении медико-технического анализа и консультаций со специалистами в Описании объекта закупки включены характеристики и параметры закупаемого товара – системы эндоскопической визулизации, состоящей из медицинских изделий: монитор, стойка, блок управления камерой, головка камеры, источник света, светодиодный кабель, инсуфлятор, ирригационно-аспирационная помпа, цитоскоп 1, цитоскоп 2, уретоскоп, аппарат электрохирургический.</w:t>
      </w:r>
    </w:p>
    <w:p>
      <w:pPr>
        <w:pStyle w:val="Normal"/>
        <w:ind w:firstLine="540"/>
        <w:jc w:val="both"/>
        <w:rPr>
          <w:rFonts w:ascii="Times New Roman" w:hAnsi="Times New Roman" w:eastAsia="Times New Roman" w:cs="Times New Roman"/>
          <w:sz w:val="24"/>
          <w:szCs w:val="24"/>
        </w:rPr>
      </w:pPr>
      <w:r>
        <w:rPr>
          <w:rFonts w:cs="Times New Roman" w:ascii="Times New Roman" w:hAnsi="Times New Roman"/>
          <w:sz w:val="24"/>
          <w:szCs w:val="24"/>
        </w:rPr>
        <w:t xml:space="preserve">Заказчик пояснил, что входящие в комплект системы эндоскопической визуализации устройства могут относиться к медицинским изделиям различных видов в соответствии с номенклатурной классификацией медицинских изделий по видам, утвержденной Министерством здравоохранения РФ, зарегистрированы под разными регистрационными удостоверениями. При этом данные устройства не используются по отдельности, а используются только в составе системы эндоскопической визуализации. Таким образом, в Описании объекта закупки медицинские изделия объединены в единую укомплектованную систему, обеспечивающую их совместное применение для проведения необходимых медицинских манипуляций. Поскольку система является модульной,  коммутация оборудования осуществляется посредством стандартизированных разъемов, стандартных цифровых интерфейсов. Инсуффляторы, аспираторы-ирригаторы и аппараты ЭХВЧ являются самостоятельными приборами (блоками) их рабочие элементы (трубки, нейтральные электроды) не имеют специфической электронной или программной привязки к видеосистеме и работают в едином комплексе за счет размещения на одной медицинской стойке. Световые кабели и оптические трубки (эндоскопы) оснащаются универсальными замками либо к ним поставляются стандартизированные адаптеры (переходники). </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 xml:space="preserve">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 </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Заявитель указывает, что под совокупность установленных характеристик: блок управления камерой, головки камеры, источник света, светодиодный кабель, цитоскоп 1, цитоскоп 2, уретроскоп подходит товар единственного производителя Карл Шторц СЕ и КО КГ; под совокупность установленных характеристик: аппарат электрохирургический подходит только аппарат производителя «БОВА-электроник ГмбХ&amp;Ко.КГ».</w:t>
      </w:r>
    </w:p>
    <w:p>
      <w:pPr>
        <w:pStyle w:val="Normal"/>
        <w:ind w:firstLine="540"/>
        <w:jc w:val="both"/>
        <w:rPr>
          <w:rFonts w:ascii="Times New Roman" w:hAnsi="Times New Roman" w:cs="Times New Roman"/>
          <w:sz w:val="24"/>
          <w:szCs w:val="24"/>
        </w:rPr>
      </w:pPr>
      <w:r>
        <w:rPr>
          <w:rFonts w:cs="Times New Roman" w:ascii="Times New Roman" w:hAnsi="Times New Roman"/>
          <w:sz w:val="24"/>
          <w:szCs w:val="24"/>
        </w:rPr>
        <w:t xml:space="preserve">Комиссией установлено, что на этапе формирования НМЦК в ЕИС был размещен запрос цен № 0318200057126000346 от 03.04.2026. В результате проведения получены коммерческие предложения поставщиков готовых поставить требуемый товар. Заказчиком в материалы дела предоставлена информация о соответствии Описания объекта закупки не менее двум производителям (в частности, оборудование по РЗН 2022/17702, РЗН 2024/22693, ФСЗ 2012/12291, РЗН 2023/20070, РЗН 2021/15728, РЗН 2021/15319, ФСЗ 2011/10573, РЗН 2021/15319, ФСЗ 2011/11191, РЗН 2-16/3929, РЗН 2021/15229, РЗН 2022/17268, РЗН 2017/5490, РЗН 2013/1249, РЗН 2021/15707, РЗН 2022/18473, РЗН 2023/20093, РЗН 2024/23567, РЗН 2023/20093, РЗН 2024/23567, РЗН 2015/2518, РЗН 2024/24319, ФСЗ 2009/04296, ФСЗ 2009/04152, ФСР 2010/06760, РЗН 2014/2050, ФСЗ 2011/10080), в том числе с приложением коммерческих предложений, </w:t>
      </w:r>
      <w:bookmarkStart w:id="1" w:name="_GoBack"/>
      <w:bookmarkEnd w:id="1"/>
      <w:r>
        <w:rPr>
          <w:rFonts w:cs="Times New Roman" w:ascii="Times New Roman" w:hAnsi="Times New Roman"/>
          <w:sz w:val="24"/>
          <w:szCs w:val="24"/>
        </w:rPr>
        <w:t>информации дочерней компании производителя Карл Шторц, документов на медицинское оборудование.</w:t>
      </w:r>
    </w:p>
    <w:p>
      <w:pPr>
        <w:pStyle w:val="Normal"/>
        <w:ind w:firstLine="708"/>
        <w:jc w:val="both"/>
        <w:rPr>
          <w:rFonts w:ascii="Times New Roman" w:hAnsi="Times New Roman" w:cs="Times New Roman"/>
          <w:sz w:val="24"/>
          <w:szCs w:val="24"/>
        </w:rPr>
      </w:pPr>
      <w:r>
        <w:rPr>
          <w:rFonts w:cs="Times New Roman" w:ascii="Times New Roman" w:hAnsi="Times New Roman"/>
          <w:sz w:val="24"/>
          <w:szCs w:val="24"/>
        </w:rPr>
        <w:t>С учетом установленных обстоятельств, Комиссия приходит к выводу, что Описание объекта закупки не противоречит положениям ст.33 Закона о контрактной системе.</w:t>
      </w:r>
    </w:p>
    <w:p>
      <w:pPr>
        <w:pStyle w:val="Normal"/>
        <w:ind w:firstLine="540"/>
        <w:jc w:val="both"/>
        <w:rPr>
          <w:rFonts w:ascii="Times New Roman" w:hAnsi="Times New Roman" w:cs="Times New Roman"/>
          <w:sz w:val="24"/>
          <w:szCs w:val="24"/>
        </w:rPr>
      </w:pPr>
      <w:r>
        <w:rPr>
          <w:rFonts w:cs="Times New Roman" w:ascii="Times New Roman" w:hAnsi="Times New Roman"/>
          <w:sz w:val="24"/>
          <w:szCs w:val="24"/>
        </w:rPr>
        <w:t>Комиссия, руководствуясь ч.15 ст.99, ч.8 ст.106 Закона о контрактной системе,</w:t>
      </w:r>
    </w:p>
    <w:p>
      <w:pPr>
        <w:pStyle w:val="Normal"/>
        <w:widowControl w:val="false"/>
        <w:numPr>
          <w:ilvl w:val="0"/>
          <w:numId w:val="0"/>
        </w:numPr>
        <w:spacing w:lineRule="auto" w:line="240" w:before="0" w:after="0"/>
        <w:ind w:left="0" w:firstLine="540"/>
        <w:jc w:val="both"/>
        <w:outlineLvl w:val="2"/>
        <w:rPr>
          <w:rFonts w:ascii="Times New Roman" w:hAnsi="Times New Roman" w:cs="Times New Roman"/>
          <w:sz w:val="24"/>
          <w:szCs w:val="24"/>
        </w:rPr>
      </w:pPr>
      <w:r>
        <w:rPr>
          <w:rFonts w:cs="Times New Roman" w:ascii="Times New Roman" w:hAnsi="Times New Roman"/>
          <w:sz w:val="24"/>
          <w:szCs w:val="24"/>
        </w:rPr>
      </w:r>
    </w:p>
    <w:p>
      <w:pPr>
        <w:pStyle w:val="Normal"/>
        <w:widowControl w:val="false"/>
        <w:numPr>
          <w:ilvl w:val="0"/>
          <w:numId w:val="0"/>
        </w:numPr>
        <w:spacing w:lineRule="auto" w:line="240" w:before="0" w:after="0"/>
        <w:ind w:left="0" w:firstLine="540"/>
        <w:jc w:val="center"/>
        <w:outlineLvl w:val="2"/>
        <w:rPr>
          <w:rFonts w:ascii="Times New Roman" w:hAnsi="Times New Roman" w:cs="Times New Roman"/>
          <w:sz w:val="24"/>
          <w:szCs w:val="24"/>
        </w:rPr>
      </w:pPr>
      <w:r>
        <w:rPr>
          <w:rFonts w:cs="Times New Roman" w:ascii="Times New Roman" w:hAnsi="Times New Roman"/>
          <w:sz w:val="24"/>
          <w:szCs w:val="24"/>
        </w:rPr>
        <w:t>РЕШИЛА:</w:t>
      </w:r>
    </w:p>
    <w:p>
      <w:pPr>
        <w:pStyle w:val="Normal"/>
        <w:widowControl w:val="false"/>
        <w:numPr>
          <w:ilvl w:val="0"/>
          <w:numId w:val="0"/>
        </w:numPr>
        <w:spacing w:lineRule="auto" w:line="240" w:before="0" w:after="0"/>
        <w:ind w:left="0" w:firstLine="540"/>
        <w:jc w:val="both"/>
        <w:outlineLvl w:val="2"/>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jc w:val="both"/>
        <w:rPr>
          <w:rFonts w:ascii="Times New Roman" w:hAnsi="Times New Roman" w:cs="Times New Roman"/>
          <w:sz w:val="24"/>
          <w:szCs w:val="24"/>
        </w:rPr>
      </w:pPr>
      <w:r>
        <w:rPr>
          <w:rFonts w:cs="Times New Roman" w:ascii="Times New Roman" w:hAnsi="Times New Roman"/>
          <w:sz w:val="24"/>
          <w:szCs w:val="24"/>
        </w:rPr>
        <w:t xml:space="preserve">Признать жалобу ООО «Ренессанс-мед» необоснованной. </w:t>
      </w:r>
    </w:p>
    <w:p>
      <w:pPr>
        <w:pStyle w:val="ListParagraph"/>
        <w:widowControl w:val="false"/>
        <w:numPr>
          <w:ilvl w:val="0"/>
          <w:numId w:val="1"/>
        </w:numPr>
        <w:spacing w:lineRule="auto" w:line="240" w:before="0" w:after="0"/>
        <w:contextualSpacing/>
        <w:jc w:val="both"/>
        <w:outlineLvl w:val="2"/>
        <w:rPr>
          <w:rFonts w:ascii="Times New Roman" w:hAnsi="Times New Roman" w:cs="Times New Roman"/>
          <w:sz w:val="24"/>
          <w:szCs w:val="24"/>
        </w:rPr>
      </w:pPr>
      <w:r>
        <w:rPr>
          <w:rFonts w:eastAsia="Times New Roman" w:cs="Times New Roman" w:ascii="Times New Roman" w:hAnsi="Times New Roman"/>
          <w:sz w:val="24"/>
          <w:szCs w:val="24"/>
        </w:rPr>
        <w:t>Отменить приостановление определения поставщика (подрядчика, исполнителя) в части подписания контракта.</w:t>
      </w:r>
    </w:p>
    <w:p>
      <w:pPr>
        <w:pStyle w:val="ListParagraph"/>
        <w:widowControl w:val="false"/>
        <w:numPr>
          <w:ilvl w:val="0"/>
          <w:numId w:val="0"/>
        </w:numPr>
        <w:spacing w:lineRule="auto" w:line="240" w:before="0" w:after="0"/>
        <w:ind w:left="900" w:hanging="0"/>
        <w:contextualSpacing/>
        <w:jc w:val="both"/>
        <w:outlineLvl w:val="2"/>
        <w:rPr>
          <w:rFonts w:ascii="Times New Roman" w:hAnsi="Times New Roman" w:cs="Times New Roman"/>
          <w:sz w:val="24"/>
          <w:szCs w:val="24"/>
        </w:rPr>
      </w:pPr>
      <w:r>
        <w:rPr>
          <w:rFonts w:cs="Times New Roman" w:ascii="Times New Roman" w:hAnsi="Times New Roman"/>
          <w:sz w:val="24"/>
          <w:szCs w:val="24"/>
        </w:rPr>
        <w:t>Настоящее решение может быть обжаловано в арбитражном суде в течение трех месяцев в установленном законом порядке.</w:t>
      </w:r>
    </w:p>
    <w:p>
      <w:pPr>
        <w:pStyle w:val="ListParagraph"/>
        <w:tabs>
          <w:tab w:val="clear" w:pos="708"/>
          <w:tab w:val="left" w:pos="3889" w:leader="none"/>
        </w:tabs>
        <w:ind w:left="900" w:hanging="0"/>
        <w:jc w:val="both"/>
        <w:rPr>
          <w:rFonts w:ascii="Times New Roman" w:hAnsi="Times New Roman" w:cs="Times New Roman"/>
          <w:sz w:val="24"/>
          <w:szCs w:val="24"/>
        </w:rPr>
      </w:pPr>
      <w:r>
        <w:rPr>
          <w:rFonts w:cs="Times New Roman" w:ascii="Times New Roman" w:hAnsi="Times New Roman"/>
          <w:sz w:val="24"/>
          <w:szCs w:val="24"/>
        </w:rPr>
        <w:tab/>
      </w:r>
    </w:p>
    <w:p>
      <w:pPr>
        <w:pStyle w:val="ListParagraph"/>
        <w:ind w:left="900" w:hanging="0"/>
        <w:jc w:val="both"/>
        <w:rPr>
          <w:rFonts w:ascii="Times New Roman" w:hAnsi="Times New Roman" w:cs="Times New Roman"/>
          <w:sz w:val="24"/>
          <w:szCs w:val="24"/>
        </w:rPr>
      </w:pPr>
      <w:r>
        <w:rPr>
          <w:rFonts w:cs="Times New Roman" w:ascii="Times New Roman" w:hAnsi="Times New Roman"/>
          <w:sz w:val="24"/>
          <w:szCs w:val="24"/>
        </w:rPr>
      </w:r>
    </w:p>
    <w:p>
      <w:pPr>
        <w:pStyle w:val="ListParagraph"/>
        <w:ind w:left="900" w:hanging="0"/>
        <w:jc w:val="right"/>
        <w:rPr>
          <w:rFonts w:ascii="Times New Roman" w:hAnsi="Times New Roman" w:cs="Times New Roman"/>
          <w:sz w:val="24"/>
          <w:szCs w:val="24"/>
        </w:rPr>
      </w:pPr>
      <w:r>
        <w:rPr>
          <w:rFonts w:cs="Times New Roman" w:ascii="Times New Roman" w:hAnsi="Times New Roman"/>
          <w:sz w:val="24"/>
          <w:szCs w:val="24"/>
        </w:rPr>
      </w:r>
    </w:p>
    <w:p>
      <w:pPr>
        <w:pStyle w:val="Normal"/>
        <w:spacing w:before="0" w:after="200"/>
        <w:rPr>
          <w:rFonts w:ascii="Times New Roman" w:hAnsi="Times New Roman" w:cs="Times New Roman"/>
          <w:sz w:val="24"/>
          <w:szCs w:val="24"/>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6393"/>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0"/>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0"/>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unhideWhenUsed/>
    <w:rsid w:val="003f6393"/>
    <w:rPr>
      <w:color w:val="0000FF"/>
      <w:u w:val="single"/>
    </w:rPr>
  </w:style>
  <w:style w:type="character" w:styleId="21" w:customStyle="1">
    <w:name w:val="Заголовок 2 Знак"/>
    <w:basedOn w:val="DefaultParagraphFont"/>
    <w:link w:val="2"/>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z-"/>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z-1"/>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link w:val="1"/>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link w:val="5"/>
    <w:uiPriority w:val="9"/>
    <w:semiHidden/>
    <w:qFormat/>
    <w:rsid w:val="00ad4d22"/>
    <w:rPr>
      <w:rFonts w:ascii="Cambria" w:hAnsi="Cambria" w:eastAsia="" w:cs="" w:asciiTheme="majorHAnsi" w:cstheme="majorBidi" w:eastAsiaTheme="majorEastAsia" w:hAnsiTheme="majorHAnsi"/>
      <w:color w:val="365F91" w:themeColor="accent1" w:themeShade="bf"/>
    </w:rPr>
  </w:style>
  <w:style w:type="character" w:styleId="ConsPlusNormal" w:customStyle="1">
    <w:name w:val="ConsPlusNormal Знак"/>
    <w:link w:val="ConsPlusNormal0"/>
    <w:qFormat/>
    <w:locked/>
    <w:rsid w:val="00f07904"/>
    <w:rPr>
      <w:rFonts w:ascii="Arial" w:hAnsi="Arial" w:cs="Arial"/>
    </w:rPr>
  </w:style>
  <w:style w:type="character" w:styleId="Style12" w:customStyle="1">
    <w:name w:val="Основной текст_"/>
    <w:basedOn w:val="DefaultParagraphFont"/>
    <w:link w:val="11"/>
    <w:qFormat/>
    <w:locked/>
    <w:rsid w:val="00f07904"/>
    <w:rPr>
      <w:rFonts w:ascii="Times New Roman" w:hAnsi="Times New Roman" w:eastAsia="Times New Roman" w:cs="Times New Roman"/>
    </w:rPr>
  </w:style>
  <w:style w:type="character" w:styleId="Style13" w:customStyle="1">
    <w:name w:val="Текст выноски Знак"/>
    <w:basedOn w:val="DefaultParagraphFont"/>
    <w:link w:val="a7"/>
    <w:uiPriority w:val="99"/>
    <w:semiHidden/>
    <w:qFormat/>
    <w:rsid w:val="0080449b"/>
    <w:rPr>
      <w:rFonts w:ascii="Tahoma" w:hAnsi="Tahoma" w:cs="Tahoma"/>
      <w:sz w:val="16"/>
      <w:szCs w:val="16"/>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lang w:val="zxx" w:eastAsia="zxx" w:bidi="zxx"/>
    </w:rPr>
  </w:style>
  <w:style w:type="paragraph" w:styleId="ListParagraph">
    <w:name w:val="List Paragraph"/>
    <w:basedOn w:val="Normal"/>
    <w:uiPriority w:val="34"/>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0"/>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2"/>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paragraph" w:styleId="ConsPlusNormal1" w:customStyle="1">
    <w:name w:val="ConsPlusNormal"/>
    <w:link w:val="ConsPlusNormal"/>
    <w:qFormat/>
    <w:rsid w:val="00f07904"/>
    <w:pPr>
      <w:widowControl/>
      <w:suppressAutoHyphens w:val="true"/>
      <w:bidi w:val="0"/>
      <w:spacing w:lineRule="auto" w:line="240" w:before="0" w:after="0"/>
      <w:jc w:val="left"/>
    </w:pPr>
    <w:rPr>
      <w:rFonts w:ascii="Arial" w:hAnsi="Arial" w:eastAsia="Calibri" w:cs="Arial" w:eastAsiaTheme="minorHAnsi"/>
      <w:color w:val="auto"/>
      <w:kern w:val="0"/>
      <w:sz w:val="22"/>
      <w:szCs w:val="22"/>
      <w:lang w:val="ru-RU" w:eastAsia="en-US" w:bidi="ar-SA"/>
    </w:rPr>
  </w:style>
  <w:style w:type="paragraph" w:styleId="12" w:customStyle="1">
    <w:name w:val="Основной текст1"/>
    <w:basedOn w:val="Normal"/>
    <w:link w:val="a6"/>
    <w:qFormat/>
    <w:rsid w:val="00f07904"/>
    <w:pPr>
      <w:widowControl w:val="false"/>
      <w:spacing w:lineRule="auto" w:line="360" w:before="0" w:after="0"/>
      <w:ind w:firstLine="400"/>
    </w:pPr>
    <w:rPr>
      <w:rFonts w:ascii="Times New Roman" w:hAnsi="Times New Roman" w:eastAsia="Times New Roman" w:cs="Times New Roman"/>
    </w:rPr>
  </w:style>
  <w:style w:type="paragraph" w:styleId="BalloonText">
    <w:name w:val="Balloon Text"/>
    <w:basedOn w:val="Normal"/>
    <w:link w:val="a8"/>
    <w:uiPriority w:val="99"/>
    <w:semiHidden/>
    <w:unhideWhenUsed/>
    <w:qFormat/>
    <w:rsid w:val="0080449b"/>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CA026-851B-4303-B383-060B228B7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2299</TotalTime>
  <Application>LibreOffice/7.2.5.2$Windows_X86_64 LibreOffice_project/499f9727c189e6ef3471021d6132d4c694f357e5</Application>
  <AppVersion>15.0000</AppVersion>
  <Pages>6</Pages>
  <Words>1553</Words>
  <Characters>11677</Characters>
  <CharactersWithSpaces>13467</CharactersWithSpaces>
  <Paragraphs>45</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2026-05-22T10:53:10Z</dcterms:modified>
  <cp:revision>1666</cp:revision>
  <dc:subject/>
  <dc:title/>
</cp:coreProperties>
</file>

<file path=docProps/custom.xml><?xml version="1.0" encoding="utf-8"?>
<Properties xmlns="http://schemas.openxmlformats.org/officeDocument/2006/custom-properties" xmlns:vt="http://schemas.openxmlformats.org/officeDocument/2006/docPropsVTypes"/>
</file>