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4"/>
          <w:szCs w:val="24"/>
        </w:rPr>
      </w:pPr>
      <w:r>
        <w:rPr>
          <w:rFonts w:cs="Times New Roman" w:ascii="Times New Roman" w:hAnsi="Times New Roman"/>
          <w:sz w:val="24"/>
          <w:szCs w:val="24"/>
        </w:rPr>
        <w:t xml:space="preserve">РЕШЕНИЕ </w:t>
      </w:r>
    </w:p>
    <w:p>
      <w:pPr>
        <w:pStyle w:val="Normal"/>
        <w:jc w:val="center"/>
        <w:rPr>
          <w:rFonts w:ascii="Times New Roman" w:hAnsi="Times New Roman" w:cs="Times New Roman"/>
          <w:sz w:val="24"/>
          <w:szCs w:val="24"/>
        </w:rPr>
      </w:pPr>
      <w:r>
        <w:rPr>
          <w:rFonts w:cs="Times New Roman" w:ascii="Times New Roman" w:hAnsi="Times New Roman"/>
          <w:sz w:val="24"/>
          <w:szCs w:val="24"/>
        </w:rPr>
        <w:t>по делу № 023/06/105-2100/2026</w:t>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19 мая 2026 года                                                                                                         г. Краснодар</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 рассмотрев жалобу ИП Дьяченко С.Ю. на действия  заказчика – МЗ КК, уполномоченного учреждения – ГКУ КК ДГЗ при проведении электронного аукциона: «Поставка системы эндоскопической визуализации; шифр регионального проекта Краснодарского края 00Д1015402055» (извещение № 0818500000826002944) в части нарушения законодательства о контрактной системе,</w:t>
      </w:r>
    </w:p>
    <w:p>
      <w:pPr>
        <w:pStyle w:val="Normal"/>
        <w:jc w:val="center"/>
        <w:rPr>
          <w:rFonts w:ascii="Times New Roman" w:hAnsi="Times New Roman" w:cs="Times New Roman"/>
          <w:sz w:val="24"/>
          <w:szCs w:val="24"/>
        </w:rPr>
      </w:pPr>
      <w:r>
        <w:rPr>
          <w:rFonts w:cs="Times New Roman" w:ascii="Times New Roman" w:hAnsi="Times New Roman"/>
          <w:sz w:val="24"/>
          <w:szCs w:val="24"/>
        </w:rPr>
        <w:t>УСТАНОВИЛА:</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 xml:space="preserve">Заявитель указывает, что закупка содержит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обоснование необходимости использования показателей, которые не предусмотрены ГОСТ, отсутствует; по совокупности требований, установленных в Техническом задании в части установления характеристики электронный блок для подключния видеоэндоскопов: видеогастроскопы, видеоколоноскопы, видеобронхоскопы, видеодуоденоскопы указывают на единственного производителя </w:t>
      </w:r>
      <w:r>
        <w:rPr>
          <w:rFonts w:cs="Times New Roman" w:ascii="Times New Roman" w:hAnsi="Times New Roman"/>
          <w:sz w:val="24"/>
          <w:szCs w:val="24"/>
          <w:lang w:val="en-US"/>
        </w:rPr>
        <w:t>SonoScape</w:t>
      </w:r>
      <w:r>
        <w:rPr>
          <w:rFonts w:cs="Times New Roman" w:ascii="Times New Roman" w:hAnsi="Times New Roman"/>
          <w:sz w:val="24"/>
          <w:szCs w:val="24"/>
        </w:rPr>
        <w:t xml:space="preserve"> </w:t>
      </w:r>
      <w:r>
        <w:rPr>
          <w:rFonts w:cs="Times New Roman" w:ascii="Times New Roman" w:hAnsi="Times New Roman"/>
          <w:sz w:val="24"/>
          <w:szCs w:val="24"/>
          <w:lang w:val="en-US"/>
        </w:rPr>
        <w:t>HD</w:t>
      </w:r>
      <w:r>
        <w:rPr>
          <w:rFonts w:cs="Times New Roman" w:ascii="Times New Roman" w:hAnsi="Times New Roman"/>
          <w:sz w:val="24"/>
          <w:szCs w:val="24"/>
        </w:rPr>
        <w:t>-500.</w:t>
      </w:r>
    </w:p>
    <w:p>
      <w:pPr>
        <w:pStyle w:val="Normal"/>
        <w:jc w:val="both"/>
        <w:rPr>
          <w:rFonts w:ascii="Times New Roman" w:hAnsi="Times New Roman" w:cs="Times New Roman"/>
          <w:sz w:val="24"/>
          <w:szCs w:val="24"/>
        </w:rPr>
      </w:pPr>
      <w:r>
        <w:rPr>
          <w:rFonts w:cs="Times New Roman" w:ascii="Times New Roman" w:hAnsi="Times New Roman"/>
          <w:sz w:val="24"/>
          <w:szCs w:val="24"/>
        </w:rPr>
        <w:tab/>
        <w:t>Заказчиком, уполномоченным учреждением предоставлены письменные пояснения, согласно которым извещение соответствует положениям Закона о контрактной системе. Описанию объекта закупки соответствует товар не менее двух производителей.</w:t>
      </w:r>
    </w:p>
    <w:p>
      <w:pPr>
        <w:pStyle w:val="Normal"/>
        <w:jc w:val="both"/>
        <w:rPr>
          <w:rFonts w:ascii="Times New Roman" w:hAnsi="Times New Roman" w:cs="Times New Roman"/>
          <w:sz w:val="24"/>
          <w:szCs w:val="24"/>
        </w:rPr>
      </w:pPr>
      <w:r>
        <w:rPr>
          <w:rFonts w:cs="Times New Roman" w:ascii="Times New Roman" w:hAnsi="Times New Roman"/>
          <w:sz w:val="24"/>
          <w:szCs w:val="24"/>
        </w:rPr>
        <w:tab/>
        <w:t>Рассмотрев представленные материалы, Комиссия пришла к следующим выводам.</w:t>
      </w:r>
    </w:p>
    <w:p>
      <w:pPr>
        <w:pStyle w:val="Normal"/>
        <w:jc w:val="both"/>
        <w:rPr>
          <w:rFonts w:ascii="Times New Roman" w:hAnsi="Times New Roman" w:cs="Times New Roman"/>
          <w:sz w:val="24"/>
          <w:szCs w:val="24"/>
        </w:rPr>
      </w:pPr>
      <w:r>
        <w:rPr>
          <w:rFonts w:cs="Times New Roman" w:ascii="Times New Roman" w:hAnsi="Times New Roman"/>
          <w:sz w:val="24"/>
          <w:szCs w:val="24"/>
        </w:rPr>
        <w:tab/>
        <w:t xml:space="preserve">Уполномоченным учреждением – ГКУ КК ДГЗ после проверки куратором заявки заказчика на соответствие требованиям законодательства о контрактной системе в ЕИС 06.05.2026 размещено извещение о проведении </w:t>
      </w:r>
      <w:r>
        <w:rPr>
          <w:rFonts w:eastAsia="Times New Roman" w:cs="Times New Roman" w:ascii="Times New Roman" w:hAnsi="Times New Roman"/>
          <w:sz w:val="24"/>
          <w:szCs w:val="24"/>
        </w:rPr>
        <w:t>электронного аукциона: «Поставка системы эндоскопической визуализации; шифр регионального проекта Краснодарского края 00Д1015402055» (извещение № 0818500000826002944) с НМЦК 97 363 845,00 рублей. Заказчик – МЗ КК.</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5) проект контракта.</w:t>
      </w:r>
    </w:p>
    <w:p>
      <w:pPr>
        <w:pStyle w:val="S1"/>
        <w:shd w:val="clear" w:color="auto" w:fill="FFFFFF"/>
        <w:spacing w:beforeAutospacing="0" w:before="0" w:afterAutospacing="0" w:after="300"/>
        <w:ind w:firstLine="708"/>
        <w:jc w:val="both"/>
        <w:rPr>
          <w:color w:val="464C55"/>
        </w:rPr>
      </w:pPr>
      <w:r>
        <w:rPr>
          <w:color w:val="22272F"/>
        </w:rPr>
        <w:t>Согласно п.1) ч.1 ст.33 Закона о контрактной системе </w:t>
      </w:r>
      <w:r>
        <w:rPr>
          <w:color w:val="464C55"/>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rPr>
      </w:pPr>
      <w:r>
        <w:rPr>
          <w:color w:val="464C55"/>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rPr>
      </w:pPr>
      <w:r>
        <w:rPr>
          <w:color w:val="464C55"/>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rPr>
      </w:pPr>
      <w:r>
        <w:rPr>
          <w:color w:val="464C55"/>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rPr>
      </w:pPr>
      <w:r>
        <w:rPr>
          <w:color w:val="464C55"/>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color w:val="3272C0"/>
        </w:rPr>
        <w:instrText> HYPERLINK "https://base.garant.ru/408401807/13e5f39dbdac86e5a4915e063b0a7798/" \l "block_1000"</w:instrText>
      </w:r>
      <w:r>
        <w:rPr>
          <w:color w:val="3272C0"/>
        </w:rPr>
        <w:fldChar w:fldCharType="separate"/>
      </w:r>
      <w:r>
        <w:rPr>
          <w:color w:val="3272C0"/>
        </w:rPr>
        <w:t>Перечень</w:t>
      </w:r>
      <w:r>
        <w:rPr>
          <w:color w:val="3272C0"/>
        </w:rPr>
        <w:fldChar w:fldCharType="end"/>
      </w:r>
      <w:r>
        <w:rPr>
          <w:color w:val="464C55"/>
        </w:rPr>
        <w:t> указанных медицинских изделий, специализированных продуктов лечебного питания и </w:t>
      </w:r>
      <w:r>
        <w:fldChar w:fldCharType="begin"/>
      </w:r>
      <w:r>
        <w:rPr>
          <w:color w:val="3272C0"/>
        </w:rPr>
        <w:instrText> HYPERLINK "https://base.garant.ru/407562325/f4e49e50581f8fb571fcdf9b91d0af76/" \l "block_1000"</w:instrText>
      </w:r>
      <w:r>
        <w:rPr>
          <w:color w:val="3272C0"/>
        </w:rPr>
        <w:fldChar w:fldCharType="separate"/>
      </w:r>
      <w:r>
        <w:rPr>
          <w:color w:val="3272C0"/>
        </w:rPr>
        <w:t>порядок</w:t>
      </w:r>
      <w:r>
        <w:rPr>
          <w:color w:val="3272C0"/>
        </w:rPr>
        <w:fldChar w:fldCharType="end"/>
      </w:r>
      <w:r>
        <w:rPr>
          <w:color w:val="464C55"/>
        </w:rPr>
        <w:t> его формирования утверждаются Правительством Российской Федерации.</w:t>
      </w:r>
    </w:p>
    <w:p>
      <w:pPr>
        <w:pStyle w:val="Normal"/>
        <w:ind w:firstLine="708"/>
        <w:jc w:val="both"/>
        <w:rPr>
          <w:rFonts w:ascii="Times New Roman" w:hAnsi="Times New Roman" w:eastAsia="Times New Roman" w:cs="Times New Roman"/>
          <w:sz w:val="24"/>
          <w:szCs w:val="24"/>
        </w:rPr>
      </w:pPr>
      <w:bookmarkStart w:id="0" w:name="dst744"/>
      <w:bookmarkEnd w:id="0"/>
      <w:r>
        <w:rPr>
          <w:rFonts w:cs="Times New Roman" w:ascii="Times New Roman" w:hAnsi="Times New Roman"/>
          <w:sz w:val="24"/>
          <w:szCs w:val="24"/>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4"/>
          <w:szCs w:val="24"/>
        </w:rPr>
        <w:t xml:space="preserve"> </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Согласно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В составе извещения заказчиком размещено уведомление от отсутствии с реестре Минпромторга товара с характеристиками, необходимыми заказчику.</w:t>
      </w:r>
    </w:p>
    <w:p>
      <w:pPr>
        <w:pStyle w:val="Normal"/>
        <w:ind w:firstLine="5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форме.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ind w:firstLine="5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При описании объекта закупки заказчиком использовалась позиция КТРУ 26.60.12.119-00000374 Система эндоскопической визуализации. В связи с отсутствием в позиции характеристик Описание объекта закупки осуществляется по правилам, предусмотренным ст.33 Закона о контрактной системе. </w:t>
      </w:r>
    </w:p>
    <w:p>
      <w:pPr>
        <w:pStyle w:val="Normal"/>
        <w:ind w:firstLine="5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Комиссией установлено, что в позиции КТРУ обозначенный товар имеет следующее назначение: 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осмотра/терапевтических процедур.</w:t>
      </w:r>
    </w:p>
    <w:p>
      <w:pPr>
        <w:pStyle w:val="Normal"/>
        <w:ind w:firstLine="5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Заказчик, руководствуясь стандартами оснащения эндоскопического кабинета в соответствии с Приложением №3 к Правилам проведения эндоскопических исследований, утвержденный приказом Министерства здравоохранения РФ от 06.12.2017 №974н. В соответствии с ГОСТ Р 56278-2014 Национальный стандарт Российской Федерации. Изделия медицинские электрические. Видеоэндоскопические комплексы с установками для ультразвуковой и флуоресцентной эндоскопии. Технические требования для государственных закупок допускается включение и/или исключением рекомендуемых требований в тендере на закупку ВЭ комплекса, приведенных в таблице 1 по согласованию с заказчиком в соответствии с предусмотренным применением в медицинском учреждении. В указанном ГОСте (п.4.1.2) предусмотрено, что ТЗ разрабатывается заказчиком. Закон о контрактной системе не предусматривает ограничения по включению в извещение требований к объекту закупки, являющемуся значимым для заказчика. Представитель заказчика пояснил, что при проведении медико-технического анализа и консультаций со специалистами в Описании объекта закупки включены характеристики и параметры закупаемого товара – системы эндоскопической визуализации. </w:t>
      </w:r>
      <w:r>
        <w:rPr>
          <w:rFonts w:cs="Times New Roman" w:ascii="Times New Roman" w:hAnsi="Times New Roman"/>
          <w:sz w:val="24"/>
          <w:szCs w:val="24"/>
        </w:rPr>
        <w:t>Т</w:t>
      </w:r>
      <w:bookmarkStart w:id="1" w:name="_GoBack"/>
      <w:bookmarkEnd w:id="1"/>
      <w:r>
        <w:rPr>
          <w:rFonts w:cs="Times New Roman" w:ascii="Times New Roman" w:hAnsi="Times New Roman"/>
          <w:sz w:val="24"/>
          <w:szCs w:val="24"/>
        </w:rPr>
        <w:t>ребование о наличии электронного блока для подключения видеоэндоскопов: видеогастроскопы, видеоколоноскопы, видеобронхоскопы, видеодуоденоскопы является объективным, связано с функциональностью и предусматривает более широкие возможности при использовании данного оборудования. Указание данной характеристики закупаемого оборудования имеет существенное значение для последующего использования оборудования в специфике деятельности заказчика. Видеодуоденоскоп гибкий (НКМИ 179310) входит в необходимый перечень оборудования для оснащения медицинских организаций (Приказ Министерства здравоохранения РФ от 28.12.2020 №1379н) и используется как диагностическое оборудование.</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 xml:space="preserve">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 </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 xml:space="preserve">Заявитель указывает, что по совокупности требований, установленных в Техническом задании в части установления характеристики электронный блок для подключния видеоэндоскопов: видеогастроскопы, видеоколоноскопы, видеобронхоскопы, видеодуоденоскопы указывают на единственного производителя </w:t>
      </w:r>
      <w:r>
        <w:rPr>
          <w:rFonts w:cs="Times New Roman" w:ascii="Times New Roman" w:hAnsi="Times New Roman"/>
          <w:sz w:val="24"/>
          <w:szCs w:val="24"/>
          <w:lang w:val="en-US"/>
        </w:rPr>
        <w:t>SonoScape</w:t>
      </w:r>
      <w:r>
        <w:rPr>
          <w:rFonts w:cs="Times New Roman" w:ascii="Times New Roman" w:hAnsi="Times New Roman"/>
          <w:sz w:val="24"/>
          <w:szCs w:val="24"/>
        </w:rPr>
        <w:t xml:space="preserve"> </w:t>
      </w:r>
      <w:r>
        <w:rPr>
          <w:rFonts w:cs="Times New Roman" w:ascii="Times New Roman" w:hAnsi="Times New Roman"/>
          <w:sz w:val="24"/>
          <w:szCs w:val="24"/>
          <w:lang w:val="en-US"/>
        </w:rPr>
        <w:t>HD</w:t>
      </w:r>
      <w:r>
        <w:rPr>
          <w:rFonts w:cs="Times New Roman" w:ascii="Times New Roman" w:hAnsi="Times New Roman"/>
          <w:sz w:val="24"/>
          <w:szCs w:val="24"/>
        </w:rPr>
        <w:t>-500.</w:t>
      </w:r>
    </w:p>
    <w:p>
      <w:pPr>
        <w:pStyle w:val="Normal"/>
        <w:ind w:firstLine="540"/>
        <w:jc w:val="both"/>
        <w:rPr>
          <w:rFonts w:ascii="Times New Roman" w:hAnsi="Times New Roman" w:cs="Times New Roman"/>
          <w:sz w:val="24"/>
          <w:szCs w:val="24"/>
        </w:rPr>
      </w:pPr>
      <w:r>
        <w:rPr>
          <w:rFonts w:cs="Times New Roman" w:ascii="Times New Roman" w:hAnsi="Times New Roman"/>
          <w:sz w:val="24"/>
          <w:szCs w:val="24"/>
        </w:rPr>
        <w:t>Заказчиком в материалы дела предоставлена информация о соответствии Описания объекта закупки не менее двум производителям, в том числе с приложением коммерческих предложений, писем производителей (РЗН 2018/7326, РЗН 2022/17844).</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С учетом установленных обстоятельств, Комиссия приходит к выводу, что Описание объекта закупки не противоречит положениям ст.33 Закона о контрактной системе.</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В части довода жалобы об отсутствии в плане-графике ГКУ КК ДГЗ закупки, Комиссия отмечает, что данное учреждение не является заказчиком закупки и осуществляет полномочия в соответствии с ч.1 ст.26 Закона о контрактной системе.</w:t>
      </w:r>
    </w:p>
    <w:p>
      <w:pPr>
        <w:pStyle w:val="Normal"/>
        <w:ind w:firstLine="540"/>
        <w:jc w:val="both"/>
        <w:rPr>
          <w:rFonts w:ascii="Times New Roman" w:hAnsi="Times New Roman" w:cs="Times New Roman"/>
          <w:sz w:val="24"/>
          <w:szCs w:val="24"/>
        </w:rPr>
      </w:pPr>
      <w:r>
        <w:rPr>
          <w:rFonts w:cs="Times New Roman" w:ascii="Times New Roman" w:hAnsi="Times New Roman"/>
          <w:sz w:val="24"/>
          <w:szCs w:val="24"/>
        </w:rPr>
        <w:t>Комиссия, руководствуясь ч.15 ст.99, ч.8 ст.106 Закона о контрактной системе,</w:t>
      </w:r>
    </w:p>
    <w:p>
      <w:pPr>
        <w:pStyle w:val="Normal"/>
        <w:widowControl w:val="false"/>
        <w:numPr>
          <w:ilvl w:val="0"/>
          <w:numId w:val="0"/>
        </w:numPr>
        <w:spacing w:lineRule="auto" w:line="240" w:before="0" w:after="0"/>
        <w:ind w:left="0" w:firstLine="540"/>
        <w:jc w:val="both"/>
        <w:outlineLvl w:val="2"/>
        <w:rPr>
          <w:rFonts w:ascii="Times New Roman" w:hAnsi="Times New Roman" w:cs="Times New Roman"/>
          <w:sz w:val="24"/>
          <w:szCs w:val="24"/>
        </w:rPr>
      </w:pPr>
      <w:r>
        <w:rPr>
          <w:rFonts w:cs="Times New Roman" w:ascii="Times New Roman" w:hAnsi="Times New Roman"/>
          <w:sz w:val="24"/>
          <w:szCs w:val="24"/>
        </w:rPr>
      </w:r>
    </w:p>
    <w:p>
      <w:pPr>
        <w:pStyle w:val="Normal"/>
        <w:widowControl w:val="false"/>
        <w:numPr>
          <w:ilvl w:val="0"/>
          <w:numId w:val="0"/>
        </w:numPr>
        <w:spacing w:lineRule="auto" w:line="240" w:before="0" w:after="0"/>
        <w:ind w:left="0" w:firstLine="540"/>
        <w:jc w:val="center"/>
        <w:outlineLvl w:val="2"/>
        <w:rPr>
          <w:rFonts w:ascii="Times New Roman" w:hAnsi="Times New Roman" w:cs="Times New Roman"/>
          <w:sz w:val="24"/>
          <w:szCs w:val="24"/>
        </w:rPr>
      </w:pPr>
      <w:r>
        <w:rPr>
          <w:rFonts w:cs="Times New Roman" w:ascii="Times New Roman" w:hAnsi="Times New Roman"/>
          <w:sz w:val="24"/>
          <w:szCs w:val="24"/>
        </w:rPr>
        <w:t>РЕШИЛА:</w:t>
      </w:r>
    </w:p>
    <w:p>
      <w:pPr>
        <w:pStyle w:val="Normal"/>
        <w:widowControl w:val="false"/>
        <w:numPr>
          <w:ilvl w:val="0"/>
          <w:numId w:val="0"/>
        </w:numPr>
        <w:spacing w:lineRule="auto" w:line="240" w:before="0" w:after="0"/>
        <w:ind w:left="0" w:firstLine="540"/>
        <w:jc w:val="both"/>
        <w:outlineLvl w:val="2"/>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both"/>
        <w:rPr>
          <w:rFonts w:ascii="Times New Roman" w:hAnsi="Times New Roman" w:cs="Times New Roman"/>
          <w:sz w:val="24"/>
          <w:szCs w:val="24"/>
        </w:rPr>
      </w:pPr>
      <w:r>
        <w:rPr>
          <w:rFonts w:cs="Times New Roman" w:ascii="Times New Roman" w:hAnsi="Times New Roman"/>
          <w:sz w:val="24"/>
          <w:szCs w:val="24"/>
        </w:rPr>
        <w:t xml:space="preserve">Признать жалобу ИП Дьяченко С.Ю. необоснованной. </w:t>
      </w:r>
    </w:p>
    <w:p>
      <w:pPr>
        <w:pStyle w:val="ListParagraph"/>
        <w:widowControl w:val="false"/>
        <w:numPr>
          <w:ilvl w:val="0"/>
          <w:numId w:val="1"/>
        </w:numPr>
        <w:spacing w:lineRule="auto" w:line="240" w:before="0" w:after="0"/>
        <w:contextualSpacing/>
        <w:jc w:val="both"/>
        <w:outlineLvl w:val="2"/>
        <w:rPr>
          <w:rFonts w:ascii="Times New Roman" w:hAnsi="Times New Roman" w:cs="Times New Roman"/>
          <w:sz w:val="24"/>
          <w:szCs w:val="24"/>
        </w:rPr>
      </w:pPr>
      <w:r>
        <w:rPr>
          <w:rFonts w:eastAsia="Times New Roman" w:cs="Times New Roman" w:ascii="Times New Roman" w:hAnsi="Times New Roman"/>
          <w:sz w:val="24"/>
          <w:szCs w:val="24"/>
        </w:rPr>
        <w:t>Отменить приостановление определения поставщика (подрядчика, исполнителя) в части подписания контракта.</w:t>
      </w:r>
    </w:p>
    <w:p>
      <w:pPr>
        <w:pStyle w:val="ListParagraph"/>
        <w:widowControl w:val="false"/>
        <w:numPr>
          <w:ilvl w:val="0"/>
          <w:numId w:val="0"/>
        </w:numPr>
        <w:spacing w:lineRule="auto" w:line="240" w:before="0" w:after="0"/>
        <w:ind w:left="900" w:hanging="0"/>
        <w:contextualSpacing/>
        <w:jc w:val="both"/>
        <w:outlineLvl w:val="2"/>
        <w:rPr>
          <w:rFonts w:ascii="Times New Roman" w:hAnsi="Times New Roman" w:cs="Times New Roman"/>
          <w:sz w:val="24"/>
          <w:szCs w:val="24"/>
        </w:rPr>
      </w:pPr>
      <w:r>
        <w:rPr>
          <w:rFonts w:cs="Times New Roman" w:ascii="Times New Roman" w:hAnsi="Times New Roman"/>
          <w:sz w:val="24"/>
          <w:szCs w:val="24"/>
        </w:rPr>
        <w:t>Настоящее решение может быть обжаловано в арбитражном суде в течение трех месяцев в установленном законом порядке.</w:t>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character" w:styleId="ConsPlusNormal" w:customStyle="1">
    <w:name w:val="ConsPlusNormal Знак"/>
    <w:link w:val="ConsPlusNormal0"/>
    <w:qFormat/>
    <w:locked/>
    <w:rsid w:val="00f07904"/>
    <w:rPr>
      <w:rFonts w:ascii="Arial" w:hAnsi="Arial" w:cs="Arial"/>
    </w:rPr>
  </w:style>
  <w:style w:type="character" w:styleId="Style12" w:customStyle="1">
    <w:name w:val="Основной текст_"/>
    <w:basedOn w:val="DefaultParagraphFont"/>
    <w:link w:val="11"/>
    <w:qFormat/>
    <w:locked/>
    <w:rsid w:val="00f07904"/>
    <w:rPr>
      <w:rFonts w:ascii="Times New Roman" w:hAnsi="Times New Roman" w:eastAsia="Times New Roman" w:cs="Times New Roman"/>
    </w:rPr>
  </w:style>
  <w:style w:type="character" w:styleId="Style13" w:customStyle="1">
    <w:name w:val="Текст выноски Знак"/>
    <w:basedOn w:val="DefaultParagraphFont"/>
    <w:link w:val="a7"/>
    <w:uiPriority w:val="99"/>
    <w:semiHidden/>
    <w:qFormat/>
    <w:rsid w:val="0080449b"/>
    <w:rPr>
      <w:rFonts w:ascii="Tahoma" w:hAnsi="Tahoma" w:cs="Tahoma"/>
      <w:sz w:val="16"/>
      <w:szCs w:val="16"/>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lang w:val="zxx" w:eastAsia="zxx" w:bidi="zxx"/>
    </w:rPr>
  </w:style>
  <w:style w:type="paragraph" w:styleId="ListParagraph">
    <w:name w:val="List Paragraph"/>
    <w:basedOn w:val="Normal"/>
    <w:uiPriority w:val="34"/>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paragraph" w:styleId="ConsPlusNormal1" w:customStyle="1">
    <w:name w:val="ConsPlusNormal"/>
    <w:link w:val="ConsPlusNormal"/>
    <w:qFormat/>
    <w:rsid w:val="00f07904"/>
    <w:pPr>
      <w:widowControl/>
      <w:suppressAutoHyphens w:val="true"/>
      <w:bidi w:val="0"/>
      <w:spacing w:lineRule="auto" w:line="240" w:before="0" w:after="0"/>
      <w:jc w:val="left"/>
    </w:pPr>
    <w:rPr>
      <w:rFonts w:ascii="Arial" w:hAnsi="Arial" w:eastAsia="Calibri" w:cs="Arial" w:eastAsiaTheme="minorHAnsi"/>
      <w:color w:val="auto"/>
      <w:kern w:val="0"/>
      <w:sz w:val="22"/>
      <w:szCs w:val="22"/>
      <w:lang w:val="ru-RU" w:eastAsia="en-US" w:bidi="ar-SA"/>
    </w:rPr>
  </w:style>
  <w:style w:type="paragraph" w:styleId="12" w:customStyle="1">
    <w:name w:val="Основной текст1"/>
    <w:basedOn w:val="Normal"/>
    <w:link w:val="a6"/>
    <w:qFormat/>
    <w:rsid w:val="00f07904"/>
    <w:pPr>
      <w:widowControl w:val="false"/>
      <w:spacing w:lineRule="auto" w:line="360" w:before="0" w:after="0"/>
      <w:ind w:firstLine="400"/>
    </w:pPr>
    <w:rPr>
      <w:rFonts w:ascii="Times New Roman" w:hAnsi="Times New Roman" w:eastAsia="Times New Roman" w:cs="Times New Roman"/>
    </w:rPr>
  </w:style>
  <w:style w:type="paragraph" w:styleId="BalloonText">
    <w:name w:val="Balloon Text"/>
    <w:basedOn w:val="Normal"/>
    <w:link w:val="a8"/>
    <w:uiPriority w:val="99"/>
    <w:semiHidden/>
    <w:unhideWhenUsed/>
    <w:qFormat/>
    <w:rsid w:val="0080449b"/>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00346-BD85-4DC1-8F58-732FA9FF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2323</TotalTime>
  <Application>LibreOffice/7.2.5.2$Windows_X86_64 LibreOffice_project/499f9727c189e6ef3471021d6132d4c694f357e5</Application>
  <AppVersion>15.0000</AppVersion>
  <Pages>5</Pages>
  <Words>1379</Words>
  <Characters>10404</Characters>
  <CharactersWithSpaces>12018</CharactersWithSpaces>
  <Paragraphs>45</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2026-05-22T10:53:57Z</dcterms:modified>
  <cp:revision>1685</cp:revision>
  <dc:subject/>
  <dc:title/>
</cp:coreProperties>
</file>

<file path=docProps/custom.xml><?xml version="1.0" encoding="utf-8"?>
<Properties xmlns="http://schemas.openxmlformats.org/officeDocument/2006/custom-properties" xmlns:vt="http://schemas.openxmlformats.org/officeDocument/2006/docPropsVTypes"/>
</file>