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РЕШЕНИЕ </w:t>
      </w:r>
    </w:p>
    <w:p>
      <w:pPr>
        <w:pStyle w:val="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по делу № 023/06/105-</w:t>
      </w:r>
      <w:r>
        <w:rPr>
          <w:rFonts w:cs="Times New Roman" w:ascii="Times New Roman" w:hAnsi="Times New Roman"/>
          <w:sz w:val="24"/>
          <w:szCs w:val="24"/>
          <w:lang w:val="en-US"/>
        </w:rPr>
        <w:t>2144</w:t>
      </w:r>
      <w:r>
        <w:rPr>
          <w:rFonts w:cs="Times New Roman" w:ascii="Times New Roman" w:hAnsi="Times New Roman"/>
          <w:sz w:val="24"/>
          <w:szCs w:val="24"/>
        </w:rPr>
        <w:t>/2026</w:t>
      </w:r>
    </w:p>
    <w:p>
      <w:pPr>
        <w:pStyle w:val="Normal"/>
        <w:jc w:val="center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о нарушении законодательства в сфере закупок товаров, работ, услуг для обеспечения государственных и муниципальных нужд</w:t>
      </w:r>
    </w:p>
    <w:p>
      <w:pPr>
        <w:pStyle w:val="Normal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2</w:t>
      </w:r>
      <w:r>
        <w:rPr>
          <w:rFonts w:eastAsia="Times New Roman" w:cs="Times New Roman" w:ascii="Times New Roman" w:hAnsi="Times New Roman"/>
          <w:sz w:val="24"/>
          <w:szCs w:val="24"/>
          <w:lang w:val="en-US"/>
        </w:rPr>
        <w:t>0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 мая 2026 года                                                                                                         г. Краснодар</w:t>
      </w:r>
    </w:p>
    <w:p>
      <w:pPr>
        <w:pStyle w:val="Normal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ab/>
        <w:t>рассмотрев жалобу ИП Кравченко А.В. (далее Заявитель) на действия  заказчика – МЗ КК, уполномоченного учреждения – ГКУ КК ДГЗ при проведении электронного аукциона: «Поставка системы эндоскопической визуализации; шифр регионального проекта Краснодарского края 00Д1015402055»  (извещение № 0818500000826002888) в части нарушения законодательства о контрактной системе,</w:t>
      </w:r>
    </w:p>
    <w:p>
      <w:pPr>
        <w:pStyle w:val="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УСТАНОВИЛА:</w:t>
      </w:r>
    </w:p>
    <w:p>
      <w:pPr>
        <w:pStyle w:val="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Заявитель указывает, что закупка содержит нарушения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Закон о контрактной системе): установлены дополнительные характеристики, не предусмотренные КТРУ; незаконны требования лицензий; незаконно указан товарный знак единственного производителя; незаконно закупаются товары с разными кодами ОКПД и разных групп направлений; нарушены сроки и время окончания подачи заявок; незаконны требования по анкетированию, переписки, связанные с исполнение контракта в сторонних программных продуктах, кроме ЕИС; не установлены ограничения по Постановлению №878 и 126; заказчик установил (не применил) ограничения допуска по Постановлению №1875; технические характеристики не соответствуют ни одному аппарату российского производства из реестра РЭП; не использовалась позиция КТРУ; не применено Постановление №1236; характеристики, указанные в ТЗ в полном объеме по совокупности характеристик не подходят под описание какого-либо оборудования; отсутствует техническое задание в структурированном виде; не указаны контактные данные сотрудники конечного получателя; в проекте контракта не указан срок действия контракта.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ab/>
        <w:t xml:space="preserve">Заказчиком, уполномоченным учреждением предоставлены письменные пояснения, согласно которым извещение соответствует положениям Закона о контрактной системе. 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ab/>
        <w:t>Рассмотрев представленные материалы, Комиссия пришла к следующим выводам.</w:t>
      </w:r>
    </w:p>
    <w:p>
      <w:pPr>
        <w:pStyle w:val="Normal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ab/>
        <w:t xml:space="preserve">Уполномоченным учреждением – ГКУ КК ДГЗ после проверки куратором заявки заказчика на соответствие требованиям законодательства о контрактной системе в ЕИС 04.05.2026 размещено извещение о проведении электронного аукциона: </w:t>
      </w:r>
      <w:r>
        <w:rPr>
          <w:rFonts w:eastAsia="Times New Roman" w:cs="Times New Roman" w:ascii="Times New Roman" w:hAnsi="Times New Roman"/>
          <w:sz w:val="24"/>
          <w:szCs w:val="24"/>
        </w:rPr>
        <w:t>«Поставка системы эндоскопической визуализации; шифр регионального проекта Краснодарского края 00Д1015402055»  (извещение № 0818500000826002888) с НМЦК 84 477 143,97 рублей. Заказчик - МЗ КК.</w:t>
      </w:r>
    </w:p>
    <w:p>
      <w:pPr>
        <w:pStyle w:val="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В соответствии с ч.2 ст.42 Закона о контрактной системе извещение об осуществлении закупки, если иное не предусмотрено настоящим Федеральным законом, должно содержать следующие электронные документы:</w:t>
      </w:r>
    </w:p>
    <w:p>
      <w:pPr>
        <w:pStyle w:val="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1) описание объекта закупки в соответствии со статьей 33 настоящего Федерального закона;</w:t>
      </w:r>
    </w:p>
    <w:p>
      <w:pPr>
        <w:pStyle w:val="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2) обоснование начальной (максимальной) цены контракта с указанием информации о валюте, используемой для формирования цены контракта и расчетов с поставщиком (подрядчиком, исполнителем), порядка применения официального курса иностранной валюты к рублю Российской Федерации, установленного Центральным банком Российской Федерации и используемого при оплате контракта;</w:t>
      </w:r>
    </w:p>
    <w:p>
      <w:pPr>
        <w:pStyle w:val="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3) требования к содержанию, составу заявки на участие в закупке в соответствии с настоящим Федеральным законом и инструкция по ее заполнению. При этом не допускается установление требований, влекущих за собой ограничение количества участников закупки;</w:t>
      </w:r>
    </w:p>
    <w:p>
      <w:pPr>
        <w:pStyle w:val="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4) порядок рассмотрения и оценки заявок на участие в конкурсах в соответствии с настоящим Федеральным законом;</w:t>
      </w:r>
    </w:p>
    <w:p>
      <w:pPr>
        <w:pStyle w:val="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5) проект контракта.</w:t>
      </w:r>
    </w:p>
    <w:p>
      <w:pPr>
        <w:pStyle w:val="S1"/>
        <w:shd w:val="clear" w:color="auto" w:fill="FFFFFF"/>
        <w:spacing w:beforeAutospacing="0" w:before="0" w:afterAutospacing="0" w:after="300"/>
        <w:ind w:firstLine="708"/>
        <w:jc w:val="both"/>
        <w:rPr>
          <w:color w:val="464C55"/>
        </w:rPr>
      </w:pPr>
      <w:r>
        <w:rPr>
          <w:color w:val="22272F"/>
        </w:rPr>
        <w:t>Согласно п.1) ч.1 ст.33 Закона о контрактной системе </w:t>
      </w:r>
      <w:r>
        <w:rPr>
          <w:color w:val="464C55"/>
        </w:rPr>
        <w:t>заказчик в случаях, предусмотренных настоящим Федеральным законом, при описании объекта закупки должен руководствоваться следующими правилами: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в следующих случаях:</w:t>
      </w:r>
    </w:p>
    <w:p>
      <w:pPr>
        <w:pStyle w:val="S1"/>
        <w:shd w:val="clear" w:color="auto" w:fill="FFFFFF"/>
        <w:spacing w:beforeAutospacing="0" w:before="0" w:afterAutospacing="0" w:after="300"/>
        <w:jc w:val="both"/>
        <w:rPr>
          <w:color w:val="464C55"/>
        </w:rPr>
      </w:pPr>
      <w:r>
        <w:rPr>
          <w:color w:val="464C55"/>
        </w:rPr>
        <w:t>а) сопровождение такого указания словами "или эквивалент";</w:t>
      </w:r>
    </w:p>
    <w:p>
      <w:pPr>
        <w:pStyle w:val="S1"/>
        <w:shd w:val="clear" w:color="auto" w:fill="FFFFFF"/>
        <w:spacing w:beforeAutospacing="0" w:before="0" w:afterAutospacing="0" w:after="300"/>
        <w:jc w:val="both"/>
        <w:rPr>
          <w:color w:val="464C55"/>
        </w:rPr>
      </w:pPr>
      <w:r>
        <w:rPr>
          <w:color w:val="464C55"/>
        </w:rPr>
        <w:t>б) несовместимость товаров, на которых размещаются другие товарные знаки, и необходимость обеспечения взаимодействия таких товаров с товарами, используемыми заказчиком;</w:t>
      </w:r>
    </w:p>
    <w:p>
      <w:pPr>
        <w:pStyle w:val="S1"/>
        <w:shd w:val="clear" w:color="auto" w:fill="FFFFFF"/>
        <w:spacing w:beforeAutospacing="0" w:before="0" w:afterAutospacing="0" w:after="300"/>
        <w:jc w:val="both"/>
        <w:rPr>
          <w:color w:val="464C55"/>
        </w:rPr>
      </w:pPr>
      <w:r>
        <w:rPr>
          <w:color w:val="464C55"/>
        </w:rPr>
        <w:t>в) осуществление закупки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>
      <w:pPr>
        <w:pStyle w:val="S1"/>
        <w:shd w:val="clear" w:color="auto" w:fill="FFFFFF"/>
        <w:spacing w:beforeAutospacing="0" w:before="0" w:afterAutospacing="0" w:after="0"/>
        <w:jc w:val="both"/>
        <w:rPr>
          <w:color w:val="464C55"/>
        </w:rPr>
      </w:pPr>
      <w:r>
        <w:rPr>
          <w:color w:val="464C55"/>
        </w:rPr>
        <w:t>г) осуществление закупки медицинских изделий, специализированных продуктов лечебного питания, необходимых для назначения пациенту по медицинским показаниям (индивидуальная непереносимость, по жизненным показаниям) по решению врачебной комиссии, которое фиксируется в медицинской документации пациента и журнале врачебной комиссии. </w:t>
      </w:r>
      <w:r>
        <w:fldChar w:fldCharType="begin"/>
      </w:r>
      <w:r>
        <w:rPr>
          <w:color w:val="3272C0"/>
        </w:rPr>
        <w:instrText> HYPERLINK "https://base.garant.ru/408401807/13e5f39dbdac86e5a4915e063b0a7798/" \l "block_1000"</w:instrText>
      </w:r>
      <w:r>
        <w:rPr>
          <w:color w:val="3272C0"/>
        </w:rPr>
        <w:fldChar w:fldCharType="separate"/>
      </w:r>
      <w:r>
        <w:rPr>
          <w:color w:val="3272C0"/>
        </w:rPr>
        <w:t>Перечень</w:t>
      </w:r>
      <w:r>
        <w:rPr>
          <w:color w:val="3272C0"/>
        </w:rPr>
        <w:fldChar w:fldCharType="end"/>
      </w:r>
      <w:r>
        <w:rPr>
          <w:color w:val="464C55"/>
        </w:rPr>
        <w:t> указанных медицинских изделий, специализированных продуктов лечебного питания и </w:t>
      </w:r>
      <w:r>
        <w:fldChar w:fldCharType="begin"/>
      </w:r>
      <w:r>
        <w:rPr>
          <w:color w:val="3272C0"/>
        </w:rPr>
        <w:instrText> HYPERLINK "https://base.garant.ru/407562325/f4e49e50581f8fb571fcdf9b91d0af76/" \l "block_1000"</w:instrText>
      </w:r>
      <w:r>
        <w:rPr>
          <w:color w:val="3272C0"/>
        </w:rPr>
        <w:fldChar w:fldCharType="separate"/>
      </w:r>
      <w:r>
        <w:rPr>
          <w:color w:val="3272C0"/>
        </w:rPr>
        <w:t>порядок</w:t>
      </w:r>
      <w:r>
        <w:rPr>
          <w:color w:val="3272C0"/>
        </w:rPr>
        <w:fldChar w:fldCharType="end"/>
      </w:r>
      <w:r>
        <w:rPr>
          <w:color w:val="464C55"/>
        </w:rPr>
        <w:t> его формирования утверждаются Правительством Российской Федерации.</w:t>
      </w:r>
    </w:p>
    <w:p>
      <w:pPr>
        <w:pStyle w:val="Normal"/>
        <w:ind w:firstLine="708"/>
        <w:jc w:val="both"/>
        <w:rPr>
          <w:rFonts w:ascii="Times New Roman" w:hAnsi="Times New Roman" w:eastAsia="Times New Roman" w:cs="Times New Roman"/>
          <w:sz w:val="24"/>
          <w:szCs w:val="24"/>
        </w:rPr>
      </w:pPr>
      <w:bookmarkStart w:id="0" w:name="dst744"/>
      <w:bookmarkEnd w:id="0"/>
      <w:r>
        <w:rPr>
          <w:rFonts w:cs="Times New Roman" w:ascii="Times New Roman" w:hAnsi="Times New Roman"/>
          <w:sz w:val="24"/>
          <w:szCs w:val="24"/>
        </w:rPr>
        <w:t>В соответствии с ч.2 ст.33 Закона о контрактной системе описание объекта закупки в соответствии с требованиями, указанными в части 1 настоящей статьи,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 </w:t>
      </w:r>
    </w:p>
    <w:p>
      <w:pPr>
        <w:pStyle w:val="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Согласно ч.1.1 ст.33 Закона о контрактной системе при описании являющегося объектом закупки товара (в том числе поставляемого при выполнении закупаемой работы, оказании закупаемой услуги), в отношении которого установлены предусмотренные пунктом 1 части 2 статьи 14 настоящего Федерального закона запрет, ограничение или преимущество, указываются характеристики товара российского происхождения.</w:t>
      </w:r>
    </w:p>
    <w:p>
      <w:pPr>
        <w:pStyle w:val="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В составе извещения размещено уведомление об отсутствии в РРПП товара с характеристиками, требуемыми заказчику.</w:t>
      </w:r>
    </w:p>
    <w:p>
      <w:pPr>
        <w:pStyle w:val="Normal"/>
        <w:ind w:firstLine="54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В силу п.9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нужд, утвержденных постановлением Правительства РФ от 08.02.2017 №145 (Далее Правила) каталог формируется и ведется в электронной форме. Позиция каталога формируется согласно п.10 Правил. П.4 Правил установлено, что заказчики обязаны применять информацию, включенную в позицию каталога в соответствии с подпунктами «б»-«г» и «е»-«з» пункта 10 Правил, с указанной в ней даты начала обязательного применения. При этом заказчик обязан при осуществлении закупки использовать информацию, включенную в соответствующую позицию, в том числе указывать согласно такой позиции следующую информацию: а) наименование товара, работы, услуги; б) единицы измерения количества товара, объема выполняемой работы, оказываемой услуги (при наличии); в) описание товара, работы, услуги (при наличии такого описания в позиции). </w:t>
      </w:r>
    </w:p>
    <w:p>
      <w:pPr>
        <w:pStyle w:val="Normal"/>
        <w:ind w:firstLine="54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Комиссией установлено, что в Описании объекта закупки использовалась позиция КТРУ 26.60.12.119-00000374 Система эндоскопической визуализации. В связи с отсутствием в КТРУ характеристик Описание осуществлялось в соответствии со статьей 33 Закона о контрактной системе.</w:t>
      </w:r>
    </w:p>
    <w:p>
      <w:pPr>
        <w:pStyle w:val="Normal"/>
        <w:ind w:firstLine="54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Представителем заказчика пояснено, что Описанию соответствует товар </w:t>
      </w:r>
      <w:bookmarkStart w:id="1" w:name="_GoBack"/>
      <w:bookmarkEnd w:id="1"/>
    </w:p>
    <w:p>
      <w:pPr>
        <w:pStyle w:val="Normal"/>
        <w:ind w:firstLine="54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Доводы Заявителя об отсутствии в ЕИС технического задания в соответствии с структурированном вариантом, контактных данных сотрудников заказчика, срока действия и окончания контракта, требований СРО, лицензий, товарного знака, товаров с разными кодами ОКПД2, требований по анкетированию, переписке в сторонних программных продуктах не нашли своего подтверждения при рассмотрении документов закупки. В жалобе ИП Кравченко А.В. также не приведен конкретный пункт положение, раздел, где, по мнению Заявителя, присутствуют незаконные требования. Нарушение сроков окончания подачи заявок не установлено. Также довод о том, что проект контракта в ЕИС и размещенный контракт по результатам выбора поставщика для подписания имеет ряд нарушений, не соответствует действительности.</w:t>
      </w:r>
    </w:p>
    <w:p>
      <w:pPr>
        <w:pStyle w:val="Normal"/>
        <w:ind w:firstLine="709"/>
        <w:jc w:val="both"/>
        <w:rPr>
          <w:rFonts w:ascii="Times New Roman" w:hAnsi="Times New Roman" w:cs="Times New Roman"/>
          <w:sz w:val="24"/>
          <w:szCs w:val="24"/>
          <w:highlight w:val="lightGray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В извещении закупок не установлено условие допуска </w:t>
      </w:r>
      <w:r>
        <w:rPr>
          <w:rFonts w:cs="Times New Roman" w:ascii="Times New Roman" w:hAnsi="Times New Roman"/>
          <w:sz w:val="24"/>
          <w:szCs w:val="24"/>
          <w:lang w:eastAsia="ru-RU"/>
        </w:rPr>
        <w:t xml:space="preserve">согласно приказу Минфина России от 04.06.2018 № 126н «Об условиях допуска товаров, происходящих из иностранного государства или группы иностранных государств, для целей осуществления закупок товаров для обеспечения государственных и муниципальных нужд», так как согласно приказа от 8 октября 2024 г. № 149н «О признании утратившими силу приказа министерства финансов российской федерации от 4 июня 2018 г. № 126н "Об условиях допуска товаров, происходящих из иностранного государства или группы иностранных государств, для целей осуществления закупок товаров для обеспечения государственных и муниципальных нужд" и внесенных в него изменений приказ Министерства финансов Российской Федерации от 22 января 2019 г. № 10н "О внесении изменений в приказ Министерства финансов Российской Федерации от 4 июня 2018 г. № 126н "Об условиях допуска товаров, происходящих из иностранного государства или группы иностранных государств, для целей осуществления закупок товаров для обеспечения государственных и муниципальных нужд" утратил силу с 01.01.2025. </w:t>
      </w:r>
    </w:p>
    <w:p>
      <w:pPr>
        <w:pStyle w:val="Normal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cs="Times New Roman" w:ascii="Times New Roman" w:hAnsi="Times New Roman"/>
          <w:sz w:val="24"/>
          <w:szCs w:val="24"/>
          <w:lang w:eastAsia="ru-RU"/>
        </w:rPr>
        <w:t>В извещении закупки не установлены ограничения по постановлению Правительства Российской Федерации от 10.07.2019 № 878 «О мерах стимулирования производства радиоэлектронной продукции на территории Российской Федерации при осуществлении закупок товаров, работ, услуг для обеспечения государственных и муниципальных нужд, о внесении изменений в постановление Правительства Российской Федерации от 16 сентября 2016 № 925 и признании утратившими силу некоторых актов Правительства Российской Федерации (вместе с «Правилами 2 формирования и ведения единого реестра российской радиоэлектронной продукции»)», так как положения постановления Правительства Российской Федерации от 10.07.2019 N 878 «О мерах стимулирования производства радиоэлектронной продукции на территории Российской Федерации при осуществлении закупок товаров, работ, услуг для обеспечения государственных и муниципальных нужд, о внесении изменений в постановление Правительства Российской Федерации от 16 сентября 2016 № 925 и признании утратившими силу некоторых актов Правительства Российской Федерации (вместе с «Правилами формирования и ведения единого реестра российской радиоэлектронной продукции»)» не применяются для установления Заказчиком национального режима в связи с вступлением в силу постановления Правительства Российской Федерации от 23.12.2024 N 1875 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лиц». В отношении закупаемого товара в извещении закупки установлено ограничение в соответствии с Постановлением №1875. В условиях закупки не предусмотрена установка или передача на каком-либо основании программного обеспечения или прав на его использование.</w:t>
      </w:r>
    </w:p>
    <w:p>
      <w:pPr>
        <w:pStyle w:val="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С учетом установленных обстоятельств, Комиссия приходит к выводу, что Описание объекта закупки не противоречит положениям Закона о контрактной системе.</w:t>
      </w:r>
    </w:p>
    <w:p>
      <w:pPr>
        <w:pStyle w:val="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Комиссия, руководствуясь ч.15 ст.99, ч.8 ст.106 Закона о контрактной системе,</w:t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0" w:after="0"/>
        <w:ind w:firstLine="540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0" w:after="0"/>
        <w:ind w:firstLine="540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РЕШИЛА:</w:t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0" w:after="0"/>
        <w:ind w:firstLine="540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Признать жалобу ИП Кравченко А.В. необоснованной. </w:t>
      </w:r>
    </w:p>
    <w:p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Передать копию жалобы в орган внутреннего государственного финансового контроля для проведения проверки в части обоснования НМЦК.</w:t>
      </w:r>
    </w:p>
    <w:p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В связи с тем, что положениями Закона о контрактной системе не предусмотрено выделение в отдельное производство по Закону о защите конкуренции указать ИП Кравченко А.В. на подачу заявления о нарушении антимонопольного законодательства в порядке, предусмотренном Законом о защите конкуренции, для установления факта ограничения конкуренции, согласованных действий и передачи материалов (при подтверждении) в следственные органы.</w:t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0" w:after="0"/>
        <w:contextualSpacing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В виду отсутствия оснований материалы дела для рассмотрения вопроса о возбуждении административного производства по ч.1 ст.19.7.2 КоАП в отношении заказчика уполномоченному должностному лицу не передавать.</w:t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0" w:after="0"/>
        <w:contextualSpacing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Отменить приостановление определения поставщика (подрядчика, исполнителя) в части подписания контракта.</w:t>
      </w:r>
    </w:p>
    <w:p>
      <w:pPr>
        <w:pStyle w:val="ListParagraph"/>
        <w:widowControl w:val="false"/>
        <w:numPr>
          <w:ilvl w:val="0"/>
          <w:numId w:val="0"/>
        </w:numPr>
        <w:spacing w:lineRule="auto" w:line="240" w:before="0" w:after="0"/>
        <w:ind w:left="900" w:hanging="0"/>
        <w:contextualSpacing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Настоящее решение может быть обжаловано в арбитражном суде в течение трех месяцев в установленном законом порядке.</w:t>
      </w:r>
    </w:p>
    <w:p>
      <w:pPr>
        <w:pStyle w:val="ListParagraph"/>
        <w:tabs>
          <w:tab w:val="clear" w:pos="708"/>
          <w:tab w:val="left" w:pos="3889" w:leader="none"/>
        </w:tabs>
        <w:ind w:left="900" w:hanging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ab/>
      </w:r>
    </w:p>
    <w:p>
      <w:pPr>
        <w:pStyle w:val="ListParagraph"/>
        <w:spacing w:before="0" w:after="200"/>
        <w:ind w:left="900" w:hanging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/>
      </w:r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Cambria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12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020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32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3f6393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1">
    <w:name w:val="Heading 1"/>
    <w:basedOn w:val="Normal"/>
    <w:next w:val="Normal"/>
    <w:link w:val="10"/>
    <w:uiPriority w:val="9"/>
    <w:qFormat/>
    <w:rsid w:val="0063166c"/>
    <w:pPr>
      <w:keepNext w:val="true"/>
      <w:keepLines/>
      <w:spacing w:before="240" w:after="0"/>
      <w:outlineLvl w:val="0"/>
    </w:pPr>
    <w:rPr>
      <w:rFonts w:ascii="Cambria" w:hAnsi="Cambria" w:eastAsia="" w:cs="" w:asciiTheme="majorHAnsi" w:cstheme="majorBidi" w:eastAsiaTheme="majorEastAsia" w:hAnsiTheme="majorHAnsi"/>
      <w:color w:val="365F91" w:themeColor="accent1" w:themeShade="bf"/>
      <w:sz w:val="32"/>
      <w:szCs w:val="32"/>
    </w:rPr>
  </w:style>
  <w:style w:type="paragraph" w:styleId="2">
    <w:name w:val="Heading 2"/>
    <w:basedOn w:val="Normal"/>
    <w:link w:val="20"/>
    <w:uiPriority w:val="9"/>
    <w:qFormat/>
    <w:rsid w:val="00457432"/>
    <w:pPr>
      <w:spacing w:lineRule="auto" w:line="240" w:beforeAutospacing="1" w:afterAutospacing="1"/>
      <w:outlineLvl w:val="1"/>
    </w:pPr>
    <w:rPr>
      <w:rFonts w:ascii="Times New Roman" w:hAnsi="Times New Roman" w:eastAsia="Times New Roman" w:cs="Times New Roman"/>
      <w:b/>
      <w:bCs/>
      <w:sz w:val="36"/>
      <w:szCs w:val="36"/>
      <w:lang w:eastAsia="ru-RU"/>
    </w:rPr>
  </w:style>
  <w:style w:type="paragraph" w:styleId="5">
    <w:name w:val="Heading 5"/>
    <w:basedOn w:val="Normal"/>
    <w:next w:val="Normal"/>
    <w:link w:val="50"/>
    <w:uiPriority w:val="9"/>
    <w:semiHidden/>
    <w:unhideWhenUsed/>
    <w:qFormat/>
    <w:rsid w:val="00ad4d22"/>
    <w:pPr>
      <w:keepNext w:val="true"/>
      <w:keepLines/>
      <w:spacing w:before="40" w:after="0"/>
      <w:outlineLvl w:val="4"/>
    </w:pPr>
    <w:rPr>
      <w:rFonts w:ascii="Cambria" w:hAnsi="Cambria" w:eastAsia="" w:cs="" w:asciiTheme="majorHAnsi" w:cstheme="majorBidi" w:eastAsiaTheme="majorEastAsia" w:hAnsiTheme="majorHAnsi"/>
      <w:color w:val="365F91" w:themeColor="accent1" w:themeShade="bf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>
    <w:name w:val="Интернет-ссылка"/>
    <w:basedOn w:val="DefaultParagraphFont"/>
    <w:uiPriority w:val="99"/>
    <w:unhideWhenUsed/>
    <w:rsid w:val="003f6393"/>
    <w:rPr>
      <w:color w:val="0000FF"/>
      <w:u w:val="single"/>
    </w:rPr>
  </w:style>
  <w:style w:type="character" w:styleId="21" w:customStyle="1">
    <w:name w:val="Заголовок 2 Знак"/>
    <w:basedOn w:val="DefaultParagraphFont"/>
    <w:link w:val="2"/>
    <w:uiPriority w:val="9"/>
    <w:qFormat/>
    <w:rsid w:val="00457432"/>
    <w:rPr>
      <w:rFonts w:ascii="Times New Roman" w:hAnsi="Times New Roman" w:eastAsia="Times New Roman" w:cs="Times New Roman"/>
      <w:b/>
      <w:bCs/>
      <w:sz w:val="36"/>
      <w:szCs w:val="36"/>
      <w:lang w:eastAsia="ru-RU"/>
    </w:rPr>
  </w:style>
  <w:style w:type="character" w:styleId="Sectioninfo" w:customStyle="1">
    <w:name w:val="section__info"/>
    <w:basedOn w:val="DefaultParagraphFont"/>
    <w:qFormat/>
    <w:rsid w:val="00457432"/>
    <w:rPr/>
  </w:style>
  <w:style w:type="character" w:styleId="Sectiontitle" w:customStyle="1">
    <w:name w:val="section__title"/>
    <w:basedOn w:val="DefaultParagraphFont"/>
    <w:qFormat/>
    <w:rsid w:val="00457432"/>
    <w:rPr/>
  </w:style>
  <w:style w:type="character" w:styleId="Timezonename" w:customStyle="1">
    <w:name w:val="timezonename"/>
    <w:basedOn w:val="DefaultParagraphFont"/>
    <w:qFormat/>
    <w:rsid w:val="00457432"/>
    <w:rPr/>
  </w:style>
  <w:style w:type="character" w:styleId="Z" w:customStyle="1">
    <w:name w:val="z-Начало формы Знак"/>
    <w:basedOn w:val="DefaultParagraphFont"/>
    <w:link w:val="z-"/>
    <w:uiPriority w:val="99"/>
    <w:semiHidden/>
    <w:qFormat/>
    <w:rsid w:val="00457432"/>
    <w:rPr>
      <w:rFonts w:ascii="Arial" w:hAnsi="Arial" w:eastAsia="Times New Roman" w:cs="Arial"/>
      <w:vanish/>
      <w:sz w:val="16"/>
      <w:szCs w:val="16"/>
      <w:lang w:eastAsia="ru-RU"/>
    </w:rPr>
  </w:style>
  <w:style w:type="character" w:styleId="Z1" w:customStyle="1">
    <w:name w:val="z-Конец формы Знак"/>
    <w:basedOn w:val="DefaultParagraphFont"/>
    <w:link w:val="z-1"/>
    <w:uiPriority w:val="99"/>
    <w:semiHidden/>
    <w:qFormat/>
    <w:rsid w:val="00457432"/>
    <w:rPr>
      <w:rFonts w:ascii="Arial" w:hAnsi="Arial" w:eastAsia="Times New Roman" w:cs="Arial"/>
      <w:vanish/>
      <w:sz w:val="16"/>
      <w:szCs w:val="16"/>
      <w:lang w:eastAsia="ru-RU"/>
    </w:rPr>
  </w:style>
  <w:style w:type="character" w:styleId="11" w:customStyle="1">
    <w:name w:val="Заголовок 1 Знак"/>
    <w:basedOn w:val="DefaultParagraphFont"/>
    <w:link w:val="1"/>
    <w:uiPriority w:val="9"/>
    <w:qFormat/>
    <w:rsid w:val="0063166c"/>
    <w:rPr>
      <w:rFonts w:ascii="Cambria" w:hAnsi="Cambria" w:eastAsia="" w:cs="" w:asciiTheme="majorHAnsi" w:cstheme="majorBidi" w:eastAsiaTheme="majorEastAsia" w:hAnsiTheme="majorHAnsi"/>
      <w:color w:val="365F91" w:themeColor="accent1" w:themeShade="bf"/>
      <w:sz w:val="32"/>
      <w:szCs w:val="32"/>
    </w:rPr>
  </w:style>
  <w:style w:type="character" w:styleId="51" w:customStyle="1">
    <w:name w:val="Заголовок 5 Знак"/>
    <w:basedOn w:val="DefaultParagraphFont"/>
    <w:link w:val="5"/>
    <w:uiPriority w:val="9"/>
    <w:semiHidden/>
    <w:qFormat/>
    <w:rsid w:val="00ad4d22"/>
    <w:rPr>
      <w:rFonts w:ascii="Cambria" w:hAnsi="Cambria" w:eastAsia="" w:cs="" w:asciiTheme="majorHAnsi" w:cstheme="majorBidi" w:eastAsiaTheme="majorEastAsia" w:hAnsiTheme="majorHAnsi"/>
      <w:color w:val="365F91" w:themeColor="accent1" w:themeShade="bf"/>
    </w:rPr>
  </w:style>
  <w:style w:type="character" w:styleId="ConsPlusNormal" w:customStyle="1">
    <w:name w:val="ConsPlusNormal Знак"/>
    <w:link w:val="ConsPlusNormal0"/>
    <w:qFormat/>
    <w:locked/>
    <w:rsid w:val="00f07904"/>
    <w:rPr>
      <w:rFonts w:ascii="Arial" w:hAnsi="Arial" w:cs="Arial"/>
    </w:rPr>
  </w:style>
  <w:style w:type="character" w:styleId="Style12" w:customStyle="1">
    <w:name w:val="Основной текст_"/>
    <w:basedOn w:val="DefaultParagraphFont"/>
    <w:link w:val="11"/>
    <w:qFormat/>
    <w:locked/>
    <w:rsid w:val="00f07904"/>
    <w:rPr>
      <w:rFonts w:ascii="Times New Roman" w:hAnsi="Times New Roman" w:eastAsia="Times New Roman" w:cs="Times New Roman"/>
    </w:rPr>
  </w:style>
  <w:style w:type="character" w:styleId="Style13" w:customStyle="1">
    <w:name w:val="Текст выноски Знак"/>
    <w:basedOn w:val="DefaultParagraphFont"/>
    <w:link w:val="a7"/>
    <w:uiPriority w:val="99"/>
    <w:semiHidden/>
    <w:qFormat/>
    <w:rsid w:val="0080449b"/>
    <w:rPr>
      <w:rFonts w:ascii="Tahoma" w:hAnsi="Tahoma" w:cs="Tahoma"/>
      <w:sz w:val="16"/>
      <w:szCs w:val="16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Arial"/>
      <w:lang w:val="zxx" w:eastAsia="zxx" w:bidi="zxx"/>
    </w:rPr>
  </w:style>
  <w:style w:type="paragraph" w:styleId="ListParagraph">
    <w:name w:val="List Paragraph"/>
    <w:basedOn w:val="Normal"/>
    <w:uiPriority w:val="34"/>
    <w:qFormat/>
    <w:rsid w:val="003f6393"/>
    <w:pPr>
      <w:spacing w:before="0" w:after="200"/>
      <w:ind w:left="720" w:hanging="0"/>
      <w:contextualSpacing/>
    </w:pPr>
    <w:rPr/>
  </w:style>
  <w:style w:type="paragraph" w:styleId="S1" w:customStyle="1">
    <w:name w:val="s_1"/>
    <w:basedOn w:val="Normal"/>
    <w:qFormat/>
    <w:rsid w:val="003f639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HTMLTopofForm">
    <w:name w:val="HTML Top of Form"/>
    <w:basedOn w:val="Normal"/>
    <w:next w:val="Normal"/>
    <w:link w:val="z-0"/>
    <w:uiPriority w:val="99"/>
    <w:semiHidden/>
    <w:unhideWhenUsed/>
    <w:qFormat/>
    <w:rsid w:val="00457432"/>
    <w:pPr>
      <w:pBdr>
        <w:bottom w:val="single" w:sz="6" w:space="1" w:color="000000"/>
      </w:pBdr>
      <w:spacing w:lineRule="auto" w:line="240" w:before="0" w:after="0"/>
      <w:jc w:val="center"/>
    </w:pPr>
    <w:rPr>
      <w:rFonts w:ascii="Arial" w:hAnsi="Arial" w:eastAsia="Times New Roman" w:cs="Arial"/>
      <w:vanish/>
      <w:sz w:val="16"/>
      <w:szCs w:val="16"/>
      <w:lang w:eastAsia="ru-RU"/>
    </w:rPr>
  </w:style>
  <w:style w:type="paragraph" w:styleId="HTMLBottomofForm">
    <w:name w:val="HTML Bottom of Form"/>
    <w:basedOn w:val="Normal"/>
    <w:next w:val="Normal"/>
    <w:link w:val="z-2"/>
    <w:uiPriority w:val="99"/>
    <w:semiHidden/>
    <w:unhideWhenUsed/>
    <w:qFormat/>
    <w:rsid w:val="00457432"/>
    <w:pPr>
      <w:pBdr>
        <w:top w:val="single" w:sz="6" w:space="1" w:color="000000"/>
      </w:pBdr>
      <w:spacing w:lineRule="auto" w:line="240" w:before="0" w:after="0"/>
      <w:jc w:val="center"/>
    </w:pPr>
    <w:rPr>
      <w:rFonts w:ascii="Arial" w:hAnsi="Arial" w:eastAsia="Times New Roman" w:cs="Arial"/>
      <w:vanish/>
      <w:sz w:val="16"/>
      <w:szCs w:val="16"/>
      <w:lang w:eastAsia="ru-RU"/>
    </w:rPr>
  </w:style>
  <w:style w:type="paragraph" w:styleId="S9" w:customStyle="1">
    <w:name w:val="s_9"/>
    <w:basedOn w:val="Normal"/>
    <w:qFormat/>
    <w:rsid w:val="00736ef7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NormalWeb">
    <w:name w:val="Normal (Web)"/>
    <w:basedOn w:val="Normal"/>
    <w:uiPriority w:val="99"/>
    <w:semiHidden/>
    <w:unhideWhenUsed/>
    <w:qFormat/>
    <w:rsid w:val="00ad4d22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ConsPlusNormal1" w:customStyle="1">
    <w:name w:val="ConsPlusNormal"/>
    <w:link w:val="ConsPlusNormal"/>
    <w:qFormat/>
    <w:rsid w:val="00f07904"/>
    <w:pPr>
      <w:widowControl/>
      <w:bidi w:val="0"/>
      <w:spacing w:lineRule="auto" w:line="240" w:before="0" w:after="0"/>
      <w:jc w:val="left"/>
    </w:pPr>
    <w:rPr>
      <w:rFonts w:ascii="Arial" w:hAnsi="Arial" w:cs="Arial" w:eastAsia="Calibri" w:eastAsiaTheme="minorHAnsi"/>
      <w:color w:val="auto"/>
      <w:kern w:val="0"/>
      <w:sz w:val="22"/>
      <w:szCs w:val="22"/>
      <w:lang w:val="ru-RU" w:eastAsia="en-US" w:bidi="ar-SA"/>
    </w:rPr>
  </w:style>
  <w:style w:type="paragraph" w:styleId="12" w:customStyle="1">
    <w:name w:val="Основной текст1"/>
    <w:basedOn w:val="Normal"/>
    <w:link w:val="a6"/>
    <w:qFormat/>
    <w:rsid w:val="00f07904"/>
    <w:pPr>
      <w:widowControl w:val="false"/>
      <w:spacing w:lineRule="auto" w:line="360" w:before="0" w:after="0"/>
      <w:ind w:firstLine="400"/>
    </w:pPr>
    <w:rPr>
      <w:rFonts w:ascii="Times New Roman" w:hAnsi="Times New Roman" w:eastAsia="Times New Roman" w:cs="Times New Roman"/>
    </w:rPr>
  </w:style>
  <w:style w:type="paragraph" w:styleId="BalloonText">
    <w:name w:val="Balloon Text"/>
    <w:basedOn w:val="Normal"/>
    <w:link w:val="a8"/>
    <w:uiPriority w:val="99"/>
    <w:semiHidden/>
    <w:unhideWhenUsed/>
    <w:qFormat/>
    <w:rsid w:val="0080449b"/>
    <w:pPr>
      <w:spacing w:lineRule="auto" w:line="240" w:before="0" w:after="0"/>
    </w:pPr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6CE753-3D0F-4362-A104-BFEE1DF5E6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2178</TotalTime>
  <Application>LibreOffice/7.2.5.2$Windows_X86_64 LibreOffice_project/499f9727c189e6ef3471021d6132d4c694f357e5</Application>
  <AppVersion>15.0000</AppVersion>
  <Pages>6</Pages>
  <Words>2012</Words>
  <Characters>11473</Characters>
  <CharactersWithSpaces>13459</CharactersWithSpaces>
  <Paragraphs>26</Paragraphs>
  <Company>Computer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2023-07-02T08:17:00Z</dcterms:created>
  <dc:creator>User</dc:creator>
  <dc:description/>
  <dc:language>ru-RU</dc:language>
  <cp:lastModifiedBy/>
  <dcterms:modified xsi:type="dcterms:W3CDTF">2026-05-25T11:02:04Z</dcterms:modified>
  <cp:revision>1649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