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№619/2025</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по делу № 023/06/33-3639/2025</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27 августа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Комиссией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Заместитель Председателя Комиссии, заместитель руководителя управления Исламгулов С.Ф.</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Члены Комиссии: Самохлеб А.В., Головко О.Н.,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в отсутствии представителя ООО «СОФ «БаРо», в присутствии </w:t>
      </w:r>
      <w:r>
        <w:rPr>
          <w:rFonts w:cs="Times New Roman" w:ascii="Times New Roman" w:hAnsi="Times New Roman"/>
          <w:sz w:val="26"/>
          <w:szCs w:val="26"/>
        </w:rPr>
        <w:t xml:space="preserve">ГБУЗ «Ейский центр профилактики и борьбы со СПИД» МЗ КК, </w:t>
      </w:r>
      <w:r>
        <w:rPr>
          <w:rFonts w:eastAsia="Times New Roman" w:cs="Times New Roman" w:ascii="Times New Roman" w:hAnsi="Times New Roman"/>
          <w:sz w:val="26"/>
          <w:szCs w:val="26"/>
        </w:rPr>
        <w:t xml:space="preserve">рассмотрев жалобу </w:t>
      </w:r>
      <w:r>
        <w:rPr>
          <w:rFonts w:cs="Times New Roman" w:ascii="Times New Roman" w:hAnsi="Times New Roman"/>
          <w:sz w:val="26"/>
          <w:szCs w:val="26"/>
        </w:rPr>
        <w:t xml:space="preserve">ООО «СОФ «БаРо» </w:t>
      </w:r>
      <w:r>
        <w:rPr>
          <w:rFonts w:eastAsia="Times New Roman" w:cs="Times New Roman" w:ascii="Times New Roman" w:hAnsi="Times New Roman"/>
          <w:sz w:val="26"/>
          <w:szCs w:val="26"/>
        </w:rPr>
        <w:t xml:space="preserve">(далее Заявитель) на действия </w:t>
      </w:r>
      <w:r>
        <w:rPr>
          <w:rFonts w:cs="Times New Roman" w:ascii="Times New Roman" w:hAnsi="Times New Roman"/>
          <w:sz w:val="26"/>
          <w:szCs w:val="26"/>
        </w:rPr>
        <w:t xml:space="preserve">заказчика — ГБУЗ «Ейский центр профилактики и борьбы со СПИД» МЗ КК,  </w:t>
      </w:r>
      <w:r>
        <w:rPr>
          <w:rFonts w:eastAsia="Times New Roman" w:cs="Times New Roman" w:ascii="Times New Roman" w:hAnsi="Times New Roman"/>
          <w:sz w:val="26"/>
          <w:szCs w:val="26"/>
        </w:rPr>
        <w:t xml:space="preserve">при проведении электронного аукциона: «Закупка шприцов» (извещение № </w:t>
      </w:r>
      <w:r>
        <w:rPr>
          <w:rFonts w:cs="Times New Roman" w:ascii="Times New Roman" w:hAnsi="Times New Roman"/>
          <w:color w:val="000000"/>
          <w:sz w:val="26"/>
          <w:szCs w:val="26"/>
        </w:rPr>
        <w:t>0318200075425000044</w:t>
      </w:r>
      <w:r>
        <w:rPr>
          <w:rFonts w:eastAsia="Times New Roman" w:cs="Times New Roman" w:ascii="Times New Roman" w:hAnsi="Times New Roman"/>
          <w:sz w:val="26"/>
          <w:szCs w:val="26"/>
        </w:rPr>
        <w:t>)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bCs/>
          <w:sz w:val="26"/>
          <w:szCs w:val="26"/>
          <w:lang w:eastAsia="ru-RU"/>
        </w:rPr>
      </w:pPr>
      <w:r>
        <w:rPr>
          <w:rFonts w:cs="Times New Roman" w:ascii="Times New Roman" w:hAnsi="Times New Roman"/>
          <w:sz w:val="26"/>
          <w:szCs w:val="26"/>
        </w:rPr>
        <w:t xml:space="preserve">Заявитель указывает описание объекта закупки составлен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Pr>
          <w:rFonts w:eastAsia="Times New Roman" w:cs="Times New Roman" w:ascii="Times New Roman" w:hAnsi="Times New Roman"/>
          <w:bCs/>
          <w:sz w:val="26"/>
          <w:szCs w:val="26"/>
          <w:lang w:eastAsia="ru-RU"/>
        </w:rPr>
        <w:t>описание объекта закупки составлено с нарушением ч. 1.1. ст. 33 Закона о контрактной системе.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предоставлены письменные пояснения, согласно которым с доводами жалобы не согласен.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Заказчиком - </w:t>
      </w:r>
      <w:r>
        <w:rPr>
          <w:rFonts w:cs="Times New Roman" w:ascii="Times New Roman" w:hAnsi="Times New Roman"/>
          <w:sz w:val="26"/>
          <w:szCs w:val="26"/>
        </w:rPr>
        <w:t xml:space="preserve">ГБУЗ «Ейский центр профилактики и борьбы со СПИД» МЗ КК, </w:t>
      </w:r>
      <w:r>
        <w:rPr>
          <w:rFonts w:eastAsia="Times New Roman" w:cs="Times New Roman" w:ascii="Times New Roman" w:hAnsi="Times New Roman"/>
          <w:sz w:val="26"/>
          <w:szCs w:val="26"/>
        </w:rPr>
        <w:t xml:space="preserve">в ЕИС  14.08.2025 размещено извещение о проведении электронного аукциона: </w:t>
      </w:r>
      <w:r>
        <w:rPr/>
        <w:t>«</w:t>
      </w:r>
      <w:r>
        <w:rPr>
          <w:rFonts w:eastAsia="Times New Roman" w:cs="Times New Roman" w:ascii="Times New Roman" w:hAnsi="Times New Roman"/>
          <w:sz w:val="26"/>
          <w:szCs w:val="26"/>
        </w:rPr>
        <w:t>Закупка шприцов» (извещение № 0318200075425000044) с НМЦК –</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58 743.60 руб.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описание объекта закупки в соответствии со статьей 33 настоящего Федерального закона;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порядок рассмотрения и оценки заявок на участие в конкурсах в соответствии с настоящим Федеральным законом;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проект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а) сопровождение такого указания словами "или эквивалент";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п.п.а) пункта 7 Постановления Правительства № 1875 при отсутствии на территории РФ производства товаров из перечня Приложения № 2 Заказчику необходимо осуществить декларирование отсутствия такого товара на территории РФ, а также приложить к извещению копию уведомления в Минпромторг, с характеристиками закупаемых товаров.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Заявитель в своей жалобе указывает, что шприцы производства "ОРИПЛАСТ ГмбХ" подходят под описание объекта закупки, а шприцы ООО "Снабполимер Медицина" и ООО Группа СТК не подходят. Данная позиция Заявителя строится на толковании информационного письма Департамента бюджетной политики в сфере контрактной системы Минфина России от 06 августа 2025 г. № 24-03-09/76141 " О рассмотрении обращения".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Считаем необходимым подробно разобрать данное письмо, подтверждающим 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44-ФЗ). Согласно действующему постановлению Правительства Российской Федерации от 30.06.2004 № 329 "О Министерстве финансов Российской Федерации" Минфин России не наделен полномочием по официальному разъяснению положений нормативных правовых актов. Письмо Департамента бюджетной политики в сфере контрактной системы Минфина России не содержит правовых норм, не конкретизирует нормативные предписания и не является нормативным правовым актом.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своем письме Департамент бюджетной политики в сфере контрактной системы Минфина России делает следующие выводы:</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mc:AlternateContent>
          <mc:Choice Requires="wps">
            <w:drawing>
              <wp:inline distT="0" distB="0" distL="0" distR="0">
                <wp:extent cx="5617845" cy="753745"/>
                <wp:effectExtent l="0" t="0" r="0" b="0"/>
                <wp:docPr id="1"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2"/>
                        <a:stretch/>
                      </pic:blipFill>
                      <pic:spPr>
                        <a:xfrm>
                          <a:off x="0" y="0"/>
                          <a:ext cx="5617080" cy="75312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59.35pt;width:442.25pt;height:59.25pt;mso-wrap-style:none;v-text-anchor:middle;mso-position-vertical:top" type="_x0000_t75">
                <v:imagedata r:id="rId2" o:detectmouseclick="t"/>
                <v:stroke color="#3465a4" joinstyle="round" endcap="flat"/>
                <w10:wrap type="none"/>
              </v:shape>
            </w:pict>
          </mc:Fallback>
        </mc:AlternateConten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Следует отметить, что шприц-дозатор предназначен для подкожных инъекций в то время, как у шприцев производства ООО "Снабполимер Медицина" и производства ООО "Группа СТК" иное назначение: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mc:AlternateContent>
          <mc:Choice Requires="wps">
            <w:drawing>
              <wp:inline distT="0" distB="0" distL="0" distR="0">
                <wp:extent cx="5940425" cy="4142105"/>
                <wp:effectExtent l="0" t="0" r="0" b="0"/>
                <wp:docPr id="2" name=""/>
                <a:graphic xmlns:a="http://schemas.openxmlformats.org/drawingml/2006/main">
                  <a:graphicData uri="http://schemas.openxmlformats.org/drawingml/2006/picture">
                    <pic:pic xmlns:pic="http://schemas.openxmlformats.org/drawingml/2006/picture">
                      <pic:nvPicPr>
                        <pic:cNvPr id="1" name="" descr=""/>
                        <pic:cNvPicPr/>
                      </pic:nvPicPr>
                      <pic:blipFill>
                        <a:blip r:embed="rId3"/>
                        <a:stretch/>
                      </pic:blipFill>
                      <pic:spPr>
                        <a:xfrm>
                          <a:off x="0" y="0"/>
                          <a:ext cx="5939640" cy="4141440"/>
                        </a:xfrm>
                        <a:prstGeom prst="rect">
                          <a:avLst/>
                        </a:prstGeom>
                        <a:ln w="0">
                          <a:noFill/>
                        </a:ln>
                      </pic:spPr>
                    </pic:pic>
                  </a:graphicData>
                </a:graphic>
              </wp:inline>
            </w:drawing>
          </mc:Choice>
          <mc:Fallback>
            <w:pict>
              <v:shape id="shape_0" stroked="f" o:allowincell="f" style="position:absolute;margin-left:0pt;margin-top:-326.15pt;width:467.65pt;height:326.05pt;mso-wrap-style:none;v-text-anchor:middle;mso-position-vertical:top" type="_x0000_t75">
                <v:imagedata r:id="rId3" o:detectmouseclick="t"/>
                <v:stroke color="#3465a4" joinstyle="round" endcap="flat"/>
                <w10:wrap type="none"/>
              </v:shape>
            </w:pict>
          </mc:Fallback>
        </mc:AlternateContent>
      </w:r>
    </w:p>
    <w:p>
      <w:pPr>
        <w:pStyle w:val="Normal"/>
        <w:spacing w:lineRule="auto" w:line="300" w:before="0" w:after="0"/>
        <w:jc w:val="both"/>
        <w:rPr/>
      </w:pPr>
      <w:r>
        <w:rPr/>
      </w:r>
    </w:p>
    <w:p>
      <w:pPr>
        <w:pStyle w:val="Normal"/>
        <w:spacing w:lineRule="auto" w:line="30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При этом, КТРУ и код вида медицинского изделия 349160 не отождествляют понятия «неубирающаяся игла» с понятиями «несъемная игла»: </w:t>
      </w:r>
    </w:p>
    <w:p>
      <w:pPr>
        <w:pStyle w:val="Normal"/>
        <w:spacing w:lineRule="auto" w:line="300" w:before="0" w:after="0"/>
        <w:ind w:firstLine="709"/>
        <w:jc w:val="both"/>
        <w:rPr>
          <w:rFonts w:ascii="Times New Roman" w:hAnsi="Times New Roman" w:cs="Times New Roman"/>
          <w:sz w:val="24"/>
          <w:szCs w:val="24"/>
        </w:rPr>
      </w:pPr>
      <w:r>
        <w:rPr/>
        <mc:AlternateContent>
          <mc:Choice Requires="wps">
            <w:drawing>
              <wp:inline distT="0" distB="0" distL="0" distR="0">
                <wp:extent cx="5709920" cy="2436495"/>
                <wp:effectExtent l="0" t="0" r="0" b="0"/>
                <wp:docPr id="3" name=""/>
                <a:graphic xmlns:a="http://schemas.openxmlformats.org/drawingml/2006/main">
                  <a:graphicData uri="http://schemas.openxmlformats.org/drawingml/2006/picture">
                    <pic:pic xmlns:pic="http://schemas.openxmlformats.org/drawingml/2006/picture">
                      <pic:nvPicPr>
                        <pic:cNvPr id="2" name="" descr=""/>
                        <pic:cNvPicPr/>
                      </pic:nvPicPr>
                      <pic:blipFill>
                        <a:blip r:embed="rId4"/>
                        <a:stretch/>
                      </pic:blipFill>
                      <pic:spPr>
                        <a:xfrm>
                          <a:off x="0" y="0"/>
                          <a:ext cx="5709240" cy="2435760"/>
                        </a:xfrm>
                        <a:prstGeom prst="rect">
                          <a:avLst/>
                        </a:prstGeom>
                        <a:ln w="0">
                          <a:noFill/>
                        </a:ln>
                      </pic:spPr>
                    </pic:pic>
                  </a:graphicData>
                </a:graphic>
              </wp:inline>
            </w:drawing>
          </mc:Choice>
          <mc:Fallback>
            <w:pict>
              <v:shape id="shape_0" stroked="f" o:allowincell="f" style="position:absolute;margin-left:0pt;margin-top:-191.85pt;width:449.5pt;height:191.75pt;mso-wrap-style:none;v-text-anchor:middle;mso-position-vertical:top" type="_x0000_t75">
                <v:imagedata r:id="rId4" o:detectmouseclick="t"/>
                <v:stroke color="#3465a4" joinstyle="round" endcap="flat"/>
                <w10:wrap type="none"/>
              </v:shape>
            </w:pict>
          </mc:Fallback>
        </mc:AlternateConten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КТРУ, можно выбрать один из следующих коннекторов (тип соединения цилиндра шприца и иглы): -</w:t>
        <w:tab/>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Катетерный тип соединения — это тип крепления, когда носик шприца сделан специально под стандартный катетер, т.е. тип соединения под катетер.</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Крепление типа «JIyep-Слип» — простая фиксация канюли на конусообразном наконечнике, исключается попадание загрязнения в соединение.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Крепление типа «Луер-Лок» — винтовое крепление иглы, благодаря чему исключается соскок иглы, такие шприцы используют для работы с масляными растворами и жидкостями с повышенной плотностью.</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Несъёмная игла — интегрированная в шприц игла.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Также изучив информацию из сети Интернет, можно прийти к следующему выводу:</w:t>
      </w:r>
    </w:p>
    <w:p>
      <w:pPr>
        <w:pStyle w:val="Normal"/>
        <w:spacing w:lineRule="auto" w:line="300" w:before="0" w:after="0"/>
        <w:ind w:firstLine="709"/>
        <w:jc w:val="both"/>
        <w:rPr>
          <w:rFonts w:ascii="Times New Roman" w:hAnsi="Times New Roman" w:cs="Times New Roman"/>
          <w:sz w:val="26"/>
          <w:szCs w:val="26"/>
        </w:rPr>
      </w:pPr>
      <w:r>
        <w:rPr/>
        <mc:AlternateContent>
          <mc:Choice Requires="wps">
            <w:drawing>
              <wp:inline distT="0" distB="0" distL="0" distR="0">
                <wp:extent cx="5433060" cy="6839585"/>
                <wp:effectExtent l="0" t="0" r="0" b="0"/>
                <wp:docPr id="4" name=""/>
                <a:graphic xmlns:a="http://schemas.openxmlformats.org/drawingml/2006/main">
                  <a:graphicData uri="http://schemas.openxmlformats.org/drawingml/2006/picture">
                    <pic:pic xmlns:pic="http://schemas.openxmlformats.org/drawingml/2006/picture">
                      <pic:nvPicPr>
                        <pic:cNvPr id="3" name="" descr=""/>
                        <pic:cNvPicPr/>
                      </pic:nvPicPr>
                      <pic:blipFill>
                        <a:blip r:embed="rId5"/>
                        <a:stretch/>
                      </pic:blipFill>
                      <pic:spPr>
                        <a:xfrm>
                          <a:off x="0" y="0"/>
                          <a:ext cx="5432400" cy="6838920"/>
                        </a:xfrm>
                        <a:prstGeom prst="rect">
                          <a:avLst/>
                        </a:prstGeom>
                        <a:ln w="0">
                          <a:noFill/>
                        </a:ln>
                      </pic:spPr>
                    </pic:pic>
                  </a:graphicData>
                </a:graphic>
              </wp:inline>
            </w:drawing>
          </mc:Choice>
          <mc:Fallback>
            <w:pict>
              <v:shape id="shape_0" stroked="f" o:allowincell="f" style="position:absolute;margin-left:0pt;margin-top:-538.55pt;width:427.7pt;height:538.45pt;mso-wrap-style:none;v-text-anchor:middle;mso-position-vertical:top" type="_x0000_t75">
                <v:imagedata r:id="rId5" o:detectmouseclick="t"/>
                <v:stroke color="#3465a4" joinstyle="round" endcap="flat"/>
                <w10:wrap type="none"/>
              </v:shape>
            </w:pict>
          </mc:Fallback>
        </mc:AlternateConten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несъемные иглы - это интегрированные в шприц иглы, которые конструктивно исключают их повторное использование. При это, шприц состоит из цилиндра, поршня и иглы, т.е. игла может быть интегрирована в поршень шприца, как это у самоблокирующих шприцев. Тот факт, что шприц является самоблокирующим, не делает иглу съемной.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На основании вышеизложенного следует, что самоблокирующие шприцы относятся к типу коннектора «Несъемная игла» и соответствуют описанию объекта закупки.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Данный вывод, в том числе подтверждает ответ ООО "Снабполимер Медицина", приведенный в возражении заказчика.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частями 4-6 ст.23 Закона 44-ФЗ,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 (далее - Каталог).</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Указанные Порядок и Правила утверждены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Из пункта 4 Правил следует, что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tab/>
        <w:t>наименование товара;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tab/>
        <w:t>единицы измерения количества товара;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tab/>
        <w:t>описание товара (при наличии такого описания в позиции).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извещению о проведении электронного аукциона № 0318200075425000044, заказчиком при описании товара: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Шприц общего назначения/в комплекте с иглой КТРУ: 32.50.13.110-00004584 (2 мл).</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Шприц общего назначения/в комплекте с иглой КТРУ: 32.50.13.110-00004580 (5 мл).</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Шприц общего назначения/в комплекте с иглой КТРУ: 32.50.13.110-00004577 (10 мл)</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Использована характеристика в соответствии с КТРУ.</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Необходимо отметить, что описание объекта закупки — это фиксация заказчиком в извещении об осуществлении закупки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Извещение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Хозяйствующие субъекты, принимая решение о возможности участия в конкретной закупке, имеют возможность оценить все риски, связанные с исполнением контракта, заключаемого по ее результатам.</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качестве объекта закупки обозначена поставка медицинского изделия, а не его производство, соответственно, участником закупки могло выступить любое лицо, готовое поставить товар (медицинские изделия), отвечающий требованиям, установленным в извещении об аукционе, и удовлетворяющий потребностям заказчика.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Выбор контрагентов (официальных дистрибьюторов), у которых потенциальный участник закупки может приобретать товар, характеристики которого соответствуют требованиям заказчика, описание объекта закупки не ограничены.</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Заказчик не обязан формировать описание объекта закупки таким образом, чтобы под установленные заказчиком характеристики подходили все без исключения товары всех имеющихся производителей.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Формируя описание объекта закупки, Заказчик руководствовался существующей потребностью, возникшей в связи с осуществлением основной деятельности лечебного учреждения.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мониторингу, проводимому Заказчиком при формировании закупки на рынке, присутствует несколько производителей, полностью соответствующих техническому заданию:</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медицинское изделия по регистрационному удостоверению № РЗН 2022/16912 от 19.10.2022 г., производитель - ООО "Снабполимер Медицина". В соответствии с регистрационным удостоверением шприцы данного производителя имеют, в том числе встроенную иглу;</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медицинское изделие по регистрационному удостоверению № ФСЗ 2009/05672, производитель - компания "ОРИПЛАСТ ГмбХ". В соответствии с инструкцией по применению данного медицинского изделия, размещённой на сайте Росздравнадзора, шприцы имеют иглу, интегрированную в корпус цилиндра. Кроме того, в данной инструкции указано, что шприц стерильный инъекционный однократного применения состоит, в том числе из съемной интегрированной (встроенной) иглой инъекционной с защитным колпачком на ней или без иглы, а также колпачка для защиты наконечника или без него;</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ab/>
        <w:t>медицинское изделие по регистрационному удостоверению № РЗН 2020/11665, производитель - ООО "Группа СТК". В соответствии с регистрационным удостоверением шприцы данного производителя имеют, в том числе встроенную иглу.</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Относительно описания объекта закупки не под Товар российского производителя, можно отметить следующее: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Постановление Правительства Российской Федерации от 23 декабря 2024 г. № 1875 предусмотрено несколько самостоятельных видов мер национального режима: запреты на допуск иностранных товаров, ограничения (условия) допуска иностранных товаров и преимущества товарам российского происхождения.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рассматриваемой закупке установлены ограничения допуска иностранных товаров, соответственно на участие в электронном аукционе могут быть поданы заявки, содержащие предложение о поставке товаров как отечественного, так и иностранного производства. Контракт также может содержать товары, происходящие из иностранных государств, но при соблюдении установленных Правительством условий и ограничений.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При ограничении Постановление Правительства Российской Федерации от 23 декабря 2024 г. № 1875 работает по принципу "второй лишний", т.е. включенные в Перечни Постановления Правительства товары иностранного происхождения не могут стать предметом контракта только в том случае, если на участие в закупке будет поданы две заявки с российскими (ЕАЭС) товарами разных производителей.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Соответственно участие в закупке, в том числе, заключение контракта, возможно и для поставщиков, реализующих импортные товары.</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Позиция Заявителя, что Заказчик обязан ориентировать техническое задание на отечественных производителей, иначе его действия "идут вразрез с обозначенными Законодателема</w:t>
      </w:r>
      <w:bookmarkStart w:id="0" w:name="_GoBack"/>
      <w:bookmarkEnd w:id="0"/>
      <w:r>
        <w:rPr>
          <w:rFonts w:cs="Times New Roman" w:ascii="Times New Roman" w:hAnsi="Times New Roman"/>
          <w:sz w:val="26"/>
          <w:szCs w:val="26"/>
        </w:rPr>
        <w:t xml:space="preserve"> и Правительством РФ направлениями развития отечественной промышленности, в том числе по производству изделий медицинского назначения" основана на подмене понятий.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Заявитель же ошибочно полагает, что развитие отечественного производства должно производиться через простую "подгонку" технического задания под их продукцию, что позволит без каких-либо действий с их стороны увеличивать сбыт и прибыль. Развитие отечественной промышленности происходит через становление и модернизацию производства, расширение ассортимента, обеспечение качества и его улучшение, т.е. процессы, которые обеспечиваются производителями.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Постановление Правительства Российской Федерации от 23 декабря 2024 г. № 1875 направлено на поддержку отечественного производителя и стимулирование импортозамещения в госзакупках. Они предоставляют российским поставщикам дополнительные преимущества и делают их продукцию более привлекательной для государственных заказчиков.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При этом, это не означает, что если Товар с характеристиками необходимыми Заказчику не производится в РФ, то такой Товар не доступен для приобретения.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Тем не менее, как было указано выше, описанию объекта закупки, в том числе относится товар российского производства - ООО "Снабполимер Медицина" (РУ № РЗН 2022/16912 от 19.10.2022г.) и имеющий сертификат по форме СТ-1 №4007000043 номер бланка 4066463 от 18.11.2024 г. Срок действия сертификата до 17.11.2025 г. (Информация согласно сайту проверки сертификатов СТ-1 https://verificatio№.tpprf.ru/search/te№ders).</w:t>
      </w:r>
    </w:p>
    <w:p>
      <w:pPr>
        <w:pStyle w:val="Normal"/>
        <w:spacing w:lineRule="auto" w:line="300" w:before="0" w:after="0"/>
        <w:ind w:firstLine="709"/>
        <w:jc w:val="both"/>
        <w:rPr>
          <w:rFonts w:ascii="Times New Roman" w:hAnsi="Times New Roman" w:cs="Times New Roman"/>
          <w:sz w:val="26"/>
          <w:szCs w:val="26"/>
        </w:rPr>
      </w:pPr>
      <w:r>
        <w:rPr/>
        <mc:AlternateContent>
          <mc:Choice Requires="wps">
            <w:drawing>
              <wp:inline distT="0" distB="0" distL="0" distR="0">
                <wp:extent cx="5556250" cy="2329180"/>
                <wp:effectExtent l="0" t="0" r="0" b="0"/>
                <wp:docPr id="5" name=""/>
                <a:graphic xmlns:a="http://schemas.openxmlformats.org/drawingml/2006/main">
                  <a:graphicData uri="http://schemas.openxmlformats.org/drawingml/2006/picture">
                    <pic:pic xmlns:pic="http://schemas.openxmlformats.org/drawingml/2006/picture">
                      <pic:nvPicPr>
                        <pic:cNvPr id="4" name="" descr=""/>
                        <pic:cNvPicPr/>
                      </pic:nvPicPr>
                      <pic:blipFill>
                        <a:blip r:embed="rId6"/>
                        <a:stretch/>
                      </pic:blipFill>
                      <pic:spPr>
                        <a:xfrm>
                          <a:off x="0" y="0"/>
                          <a:ext cx="5555520" cy="2328480"/>
                        </a:xfrm>
                        <a:prstGeom prst="rect">
                          <a:avLst/>
                        </a:prstGeom>
                        <a:ln w="0">
                          <a:noFill/>
                        </a:ln>
                      </pic:spPr>
                    </pic:pic>
                  </a:graphicData>
                </a:graphic>
              </wp:inline>
            </w:drawing>
          </mc:Choice>
          <mc:Fallback>
            <w:pict>
              <v:shape id="shape_0" stroked="f" o:allowincell="f" style="position:absolute;margin-left:0pt;margin-top:-183.4pt;width:437.4pt;height:183.3pt;mso-wrap-style:none;v-text-anchor:middle;mso-position-vertical:top" type="_x0000_t75">
                <v:imagedata r:id="rId6" o:detectmouseclick="t"/>
                <v:stroke color="#3465a4" joinstyle="round" endcap="flat"/>
                <w10:wrap type="none"/>
              </v:shape>
            </w:pict>
          </mc:Fallback>
        </mc:AlternateConten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информационным письмом Минфин России от 31.01.2025 № 24-0106/8697 "О применении положений постановления Правительства Российской Федерации от 23 декабря 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подпункт "в" пункта 10 Постановления № 1875 содержит переходные положения, предусматривающие, временную возможность подтверждения происхождения товаров, указанных в позициях 362-399 и 433 перечня № 2, из государств - членов ЕАЭС, в том числе из Российской Федерации, путем предоставления либо номера реестровой записи из реестра российской промышленной продукции, из евразийского реестра промышленных товаров, либо сертификата о происхождении товара по форме, установленной Правилами определения страны происхождения товаров в Содружестве Независимых Государств от 20 ноября 2009 г. (форма СТ-1).</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требования Описания закупки сформированы Заказчиком в соответствии с требованиями ст. 33 Закона 44-ФЗ и не нарушают нормы действующего законодательства.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4"/>
        </w:numPr>
        <w:suppressAutoHyphens w:val="true"/>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Признать жалобу ООО «СОФ «БаРо» необоснованной.</w:t>
      </w:r>
    </w:p>
    <w:p>
      <w:pPr>
        <w:pStyle w:val="ListParagraph"/>
        <w:widowControl w:val="false"/>
        <w:numPr>
          <w:ilvl w:val="0"/>
          <w:numId w:val="5"/>
        </w:numPr>
        <w:suppressAutoHyphens w:val="true"/>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Отменить приостановление определения поставщика (подрядчика, исполнителя) в части подписания контракта (извещение № </w:t>
      </w:r>
      <w:r>
        <w:rPr>
          <w:rFonts w:cs="Times New Roman" w:ascii="Times New Roman" w:hAnsi="Times New Roman"/>
          <w:color w:val="000000"/>
          <w:sz w:val="26"/>
          <w:szCs w:val="26"/>
        </w:rPr>
        <w:t>0318200075425000044</w:t>
      </w:r>
      <w:r>
        <w:rPr>
          <w:rFonts w:cs="Times New Roman" w:ascii="Times New Roman" w:hAnsi="Times New Roman"/>
          <w:sz w:val="26"/>
          <w:szCs w:val="26"/>
        </w:rPr>
        <w:t>).</w:t>
      </w:r>
    </w:p>
    <w:p>
      <w:pPr>
        <w:pStyle w:val="ListParagraph"/>
        <w:widowControl w:val="false"/>
        <w:numPr>
          <w:ilvl w:val="0"/>
          <w:numId w:val="0"/>
        </w:numPr>
        <w:spacing w:lineRule="auto" w:line="30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Настоящее решение может быть обжаловано в арбитражном суде в течение трех месяцев в установленном законом порядке. </w:t>
      </w:r>
    </w:p>
    <w:p>
      <w:pPr>
        <w:pStyle w:val="Normal"/>
        <w:widowControl/>
        <w:bidi w:val="0"/>
        <w:spacing w:lineRule="auto" w:line="276" w:before="0" w:after="200"/>
        <w:jc w:val="left"/>
        <w:rPr/>
      </w:pPr>
      <w:r>
        <w:rPr/>
      </w:r>
    </w:p>
    <w:sectPr>
      <w:headerReference w:type="default" r:id="rId7"/>
      <w:type w:val="nextPage"/>
      <w:pgSz w:w="11906" w:h="16838"/>
      <w:pgMar w:left="1701" w:right="850" w:gutter="0" w:header="708"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2"/>
    <w:lvlOverride w:ilvl="0">
      <w:startOverride w:val="1"/>
    </w:lvlOverride>
  </w:num>
  <w:num w:numId="5">
    <w:abstractNumId w:val="2"/>
  </w:num>
</w:numbering>
</file>

<file path=word/settings.xml><?xml version="1.0" encoding="utf-8"?>
<w:settings xmlns:w="http://schemas.openxmlformats.org/wordprocessingml/2006/main">
  <w:zoom w:percent="124"/>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0286"/>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unhideWhenUsed/>
    <w:rsid w:val="00d50286"/>
    <w:rPr>
      <w:color w:val="0563C1" w:themeColor="hyperlink"/>
      <w:u w:val="single"/>
    </w:rPr>
  </w:style>
  <w:style w:type="character" w:styleId="Style15" w:customStyle="1">
    <w:name w:val="Верхний колонтитул Знак"/>
    <w:basedOn w:val="DefaultParagraphFont"/>
    <w:link w:val="a6"/>
    <w:uiPriority w:val="99"/>
    <w:qFormat/>
    <w:rsid w:val="00d44b04"/>
    <w:rPr/>
  </w:style>
  <w:style w:type="character" w:styleId="Style16" w:customStyle="1">
    <w:name w:val="Нижний колонтитул Знак"/>
    <w:basedOn w:val="DefaultParagraphFont"/>
    <w:link w:val="a8"/>
    <w:uiPriority w:val="99"/>
    <w:qFormat/>
    <w:rsid w:val="00d44b04"/>
    <w:rPr/>
  </w:style>
  <w:style w:type="character" w:styleId="Style17" w:customStyle="1">
    <w:name w:val="Текст выноски Знак"/>
    <w:basedOn w:val="DefaultParagraphFont"/>
    <w:link w:val="aa"/>
    <w:uiPriority w:val="99"/>
    <w:semiHidden/>
    <w:qFormat/>
    <w:rsid w:val="006b7e56"/>
    <w:rPr>
      <w:rFonts w:ascii="Segoe UI" w:hAnsi="Segoe UI" w:cs="Segoe UI"/>
      <w:sz w:val="18"/>
      <w:szCs w:val="18"/>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d50286"/>
    <w:pPr>
      <w:spacing w:before="0" w:after="200"/>
      <w:ind w:left="720" w:hanging="0"/>
      <w:contextualSpacing/>
    </w:pPr>
    <w:rPr/>
  </w:style>
  <w:style w:type="paragraph" w:styleId="Style23">
    <w:name w:val="Колонтитул"/>
    <w:basedOn w:val="Normal"/>
    <w:qFormat/>
    <w:pPr/>
    <w:rPr/>
  </w:style>
  <w:style w:type="paragraph" w:styleId="Style24">
    <w:name w:val="Header"/>
    <w:basedOn w:val="Normal"/>
    <w:link w:val="a7"/>
    <w:uiPriority w:val="99"/>
    <w:unhideWhenUsed/>
    <w:rsid w:val="00d44b04"/>
    <w:pPr>
      <w:tabs>
        <w:tab w:val="clear" w:pos="708"/>
        <w:tab w:val="center" w:pos="4677" w:leader="none"/>
        <w:tab w:val="right" w:pos="9355" w:leader="none"/>
      </w:tabs>
      <w:spacing w:lineRule="auto" w:line="240" w:before="0" w:after="0"/>
    </w:pPr>
    <w:rPr/>
  </w:style>
  <w:style w:type="paragraph" w:styleId="Style25">
    <w:name w:val="Footer"/>
    <w:basedOn w:val="Normal"/>
    <w:link w:val="a9"/>
    <w:uiPriority w:val="99"/>
    <w:unhideWhenUsed/>
    <w:rsid w:val="00d44b04"/>
    <w:pPr>
      <w:tabs>
        <w:tab w:val="clear" w:pos="708"/>
        <w:tab w:val="center" w:pos="4677" w:leader="none"/>
        <w:tab w:val="right" w:pos="9355" w:leader="none"/>
      </w:tabs>
      <w:spacing w:lineRule="auto" w:line="240" w:before="0" w:after="0"/>
    </w:pPr>
    <w:rPr/>
  </w:style>
  <w:style w:type="paragraph" w:styleId="BalloonText">
    <w:name w:val="Balloon Text"/>
    <w:basedOn w:val="Normal"/>
    <w:link w:val="ab"/>
    <w:uiPriority w:val="99"/>
    <w:semiHidden/>
    <w:unhideWhenUsed/>
    <w:qFormat/>
    <w:rsid w:val="006b7e5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39"/>
    <w:rsid w:val="00ff6a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97CA8-0E9F-453D-AD1E-9C6BB64EE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Application>LibreOffice/7.2.5.2$Windows_X86_64 LibreOffice_project/499f9727c189e6ef3471021d6132d4c694f357e5</Application>
  <AppVersion>15.0000</AppVersion>
  <Pages>11</Pages>
  <Words>2400</Words>
  <Characters>17065</Characters>
  <CharactersWithSpaces>19495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2025-08-26T11:38:00Z</dcterms:created>
  <dc:creator>Крюков Владимир Витальевич</dc:creator>
  <dc:description/>
  <dc:language>ru-RU</dc:language>
  <cp:lastModifiedBy/>
  <cp:lastPrinted>2025-08-28T07:31:00Z</cp:lastPrinted>
  <dcterms:modified xsi:type="dcterms:W3CDTF">2025-09-01T11:27:22Z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