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tbl>
      <w:tblPr>
        <w:tblStyle w:val="a5"/>
        <w:tblW w:w="5655" w:type="dxa"/>
        <w:jc w:val="left"/>
        <w:tblInd w:w="5109" w:type="dxa"/>
        <w:tblLayout w:type="fixed"/>
        <w:tblCellMar>
          <w:top w:w="0" w:type="dxa"/>
          <w:left w:w="108" w:type="dxa"/>
          <w:bottom w:w="0" w:type="dxa"/>
          <w:right w:w="108" w:type="dxa"/>
        </w:tblCellMar>
        <w:tblLook w:firstRow="1" w:noVBand="1" w:lastRow="0" w:firstColumn="1" w:lastColumn="0" w:noHBand="0" w:val="04a0"/>
      </w:tblPr>
      <w:tblGrid>
        <w:gridCol w:w="5655"/>
      </w:tblGrid>
      <w:tr>
        <w:trPr>
          <w:trHeight w:val="3105" w:hRule="atLeast"/>
        </w:trPr>
        <w:tc>
          <w:tcPr>
            <w:tcW w:w="5655" w:type="dxa"/>
            <w:tcBorders>
              <w:top w:val="nil"/>
              <w:left w:val="nil"/>
              <w:bottom w:val="nil"/>
              <w:right w:val="nil"/>
            </w:tcBorders>
          </w:tcPr>
          <w:p>
            <w:pPr>
              <w:pStyle w:val="Normal"/>
              <w:widowControl/>
              <w:suppressAutoHyphens w:val="true"/>
              <w:snapToGrid w:val="false"/>
              <w:spacing w:lineRule="auto" w:line="240" w:before="0" w:after="0"/>
              <w:jc w:val="both"/>
              <w:rPr>
                <w:rFonts w:ascii="Times New Roman" w:hAnsi="Times New Roman" w:cs="Times New Roman"/>
                <w:bCs/>
                <w:sz w:val="24"/>
                <w:szCs w:val="24"/>
              </w:rPr>
            </w:pPr>
            <w:r>
              <w:rPr/>
            </w:r>
            <w:bookmarkStart w:id="0" w:name="_Hlk201918293"/>
            <w:bookmarkStart w:id="1" w:name="_Hlk201918305"/>
            <w:bookmarkStart w:id="2" w:name="_Hlk201918293"/>
            <w:bookmarkStart w:id="3" w:name="_Hlk201918305"/>
            <w:bookmarkEnd w:id="2"/>
            <w:bookmarkEnd w:id="3"/>
          </w:p>
        </w:tc>
      </w:tr>
    </w:tbl>
    <w:p>
      <w:pPr>
        <w:pStyle w:val="Normal"/>
        <w:widowControl w:val="false"/>
        <w:suppressAutoHyphens w:val="true"/>
        <w:spacing w:lineRule="auto" w:line="240" w:before="0" w:after="0"/>
        <w:ind w:right="566"/>
        <w:rPr>
          <w:rFonts w:ascii="Times New Roman" w:hAnsi="Times New Roman"/>
          <w:sz w:val="26"/>
          <w:szCs w:val="26"/>
          <w:lang w:eastAsia="ar-SA"/>
        </w:rPr>
      </w:pPr>
      <w:r>
        <w:rPr>
          <w:rFonts w:ascii="Times New Roman" w:hAnsi="Times New Roman"/>
          <w:sz w:val="26"/>
          <w:szCs w:val="26"/>
          <w:lang w:eastAsia="ar-SA"/>
        </w:rPr>
      </w:r>
    </w:p>
    <w:p>
      <w:pPr>
        <w:pStyle w:val="Normal"/>
        <w:widowControl w:val="false"/>
        <w:suppressAutoHyphens w:val="true"/>
        <w:spacing w:lineRule="auto" w:line="240" w:before="0" w:after="0"/>
        <w:ind w:right="566"/>
        <w:rPr>
          <w:rFonts w:ascii="Times New Roman" w:hAnsi="Times New Roman"/>
          <w:sz w:val="26"/>
          <w:szCs w:val="26"/>
          <w:lang w:eastAsia="ar-SA"/>
        </w:rPr>
      </w:pPr>
      <w:r>
        <w:rPr>
          <w:rFonts w:ascii="Times New Roman" w:hAnsi="Times New Roman"/>
          <w:sz w:val="26"/>
          <w:szCs w:val="26"/>
          <w:lang w:eastAsia="ar-SA"/>
        </w:rPr>
      </w:r>
    </w:p>
    <w:p>
      <w:pPr>
        <w:pStyle w:val="Normal"/>
        <w:widowControl w:val="false"/>
        <w:suppressAutoHyphens w:val="true"/>
        <w:spacing w:lineRule="auto" w:line="240" w:before="0" w:after="0"/>
        <w:ind w:firstLine="709" w:right="566"/>
        <w:jc w:val="center"/>
        <w:rPr>
          <w:rFonts w:ascii="Times New Roman" w:hAnsi="Times New Roman"/>
          <w:sz w:val="26"/>
          <w:szCs w:val="26"/>
          <w:lang w:eastAsia="ar-SA"/>
        </w:rPr>
      </w:pPr>
      <w:r>
        <w:rPr>
          <w:rFonts w:ascii="Times New Roman" w:hAnsi="Times New Roman"/>
          <w:sz w:val="26"/>
          <w:szCs w:val="26"/>
          <w:lang w:eastAsia="ar-SA"/>
        </w:rPr>
        <w:t xml:space="preserve">Р Е Ш Е Н И Е </w:t>
      </w:r>
    </w:p>
    <w:p>
      <w:pPr>
        <w:pStyle w:val="Normal"/>
        <w:widowControl w:val="false"/>
        <w:suppressAutoHyphens w:val="true"/>
        <w:spacing w:lineRule="auto" w:line="240" w:before="0" w:after="0"/>
        <w:ind w:firstLine="709" w:right="566"/>
        <w:jc w:val="center"/>
        <w:rPr>
          <w:rFonts w:ascii="Times New Roman" w:hAnsi="Times New Roman"/>
          <w:sz w:val="26"/>
          <w:szCs w:val="26"/>
          <w:lang w:eastAsia="ar-SA"/>
        </w:rPr>
      </w:pPr>
      <w:r>
        <w:rPr>
          <w:rFonts w:ascii="Times New Roman" w:hAnsi="Times New Roman"/>
          <w:sz w:val="26"/>
          <w:szCs w:val="26"/>
          <w:lang w:eastAsia="ar-SA"/>
        </w:rPr>
        <w:t>по жалобе ИП Кравченко А.В.</w:t>
      </w:r>
    </w:p>
    <w:p>
      <w:pPr>
        <w:pStyle w:val="Normal"/>
        <w:widowControl w:val="false"/>
        <w:suppressAutoHyphens w:val="true"/>
        <w:spacing w:lineRule="auto" w:line="240" w:before="0" w:after="0"/>
        <w:ind w:firstLine="709" w:right="566"/>
        <w:jc w:val="center"/>
        <w:rPr>
          <w:rFonts w:ascii="Times New Roman" w:hAnsi="Times New Roman"/>
          <w:sz w:val="26"/>
          <w:szCs w:val="26"/>
          <w:lang w:eastAsia="ar-SA"/>
        </w:rPr>
      </w:pPr>
      <w:bookmarkStart w:id="4" w:name="_Hlk201918314"/>
      <w:r>
        <w:rPr>
          <w:rFonts w:ascii="Times New Roman" w:hAnsi="Times New Roman"/>
          <w:sz w:val="26"/>
          <w:szCs w:val="26"/>
          <w:lang w:eastAsia="ar-SA"/>
        </w:rPr>
        <w:t xml:space="preserve">№   </w:t>
      </w:r>
      <w:bookmarkEnd w:id="4"/>
      <w:r>
        <w:rPr>
          <w:rFonts w:ascii="Times New Roman" w:hAnsi="Times New Roman"/>
          <w:sz w:val="26"/>
          <w:szCs w:val="26"/>
          <w:lang w:eastAsia="ar-SA"/>
        </w:rPr>
        <w:t>347-9928-25/4</w:t>
      </w:r>
    </w:p>
    <w:p>
      <w:pPr>
        <w:pStyle w:val="Normal"/>
        <w:widowControl w:val="false"/>
        <w:suppressAutoHyphens w:val="true"/>
        <w:spacing w:lineRule="auto" w:line="240" w:before="0" w:after="0"/>
        <w:ind w:firstLine="709" w:right="566"/>
        <w:jc w:val="center"/>
        <w:rPr>
          <w:rFonts w:ascii="Times New Roman" w:hAnsi="Times New Roman"/>
          <w:sz w:val="26"/>
          <w:szCs w:val="26"/>
          <w:lang w:eastAsia="ar-SA"/>
        </w:rPr>
      </w:pPr>
      <w:r>
        <w:rPr>
          <w:rFonts w:ascii="Times New Roman" w:hAnsi="Times New Roman"/>
          <w:sz w:val="26"/>
          <w:szCs w:val="26"/>
          <w:lang w:eastAsia="ar-SA"/>
        </w:rPr>
      </w:r>
    </w:p>
    <w:p>
      <w:pPr>
        <w:pStyle w:val="Normal"/>
        <w:widowControl w:val="false"/>
        <w:suppressAutoHyphens w:val="true"/>
        <w:spacing w:lineRule="auto" w:line="240" w:before="0" w:after="0"/>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pPr>
        <w:pStyle w:val="Normal"/>
        <w:widowControl w:val="false"/>
        <w:suppressAutoHyphens w:val="true"/>
        <w:spacing w:lineRule="auto" w:line="240" w:before="0" w:after="0"/>
        <w:rPr>
          <w:rFonts w:ascii="Times New Roman" w:hAnsi="Times New Roman"/>
          <w:sz w:val="26"/>
          <w:szCs w:val="26"/>
          <w:lang w:eastAsia="ar-SA"/>
        </w:rPr>
      </w:pPr>
      <w:r>
        <w:rPr>
          <w:rFonts w:ascii="Times New Roman" w:hAnsi="Times New Roman"/>
          <w:sz w:val="26"/>
          <w:szCs w:val="26"/>
          <w:lang w:eastAsia="ar-SA"/>
        </w:rPr>
        <w:t xml:space="preserve">03.09.2025                                                                                        </w:t>
        <w:tab/>
        <w:t xml:space="preserve">                               г. Самара</w:t>
      </w:r>
    </w:p>
    <w:p>
      <w:pPr>
        <w:pStyle w:val="Normal"/>
        <w:widowControl w:val="false"/>
        <w:suppressAutoHyphens w:val="true"/>
        <w:spacing w:lineRule="auto" w:line="240" w:before="0" w:after="0"/>
        <w:ind w:right="566"/>
        <w:rPr>
          <w:rFonts w:ascii="Times New Roman" w:hAnsi="Times New Roman"/>
          <w:sz w:val="26"/>
          <w:szCs w:val="26"/>
          <w:lang w:eastAsia="ar-SA"/>
        </w:rPr>
      </w:pPr>
      <w:r>
        <w:rPr>
          <w:rFonts w:ascii="Times New Roman" w:hAnsi="Times New Roman"/>
          <w:sz w:val="26"/>
          <w:szCs w:val="26"/>
          <w:lang w:eastAsia="ar-SA"/>
        </w:rPr>
      </w:r>
    </w:p>
    <w:p>
      <w:pPr>
        <w:pStyle w:val="Normal"/>
        <w:suppressAutoHyphens w:val="true"/>
        <w:spacing w:lineRule="auto" w:line="240" w:before="0" w:after="0"/>
        <w:ind w:firstLine="709"/>
        <w:jc w:val="both"/>
        <w:rPr>
          <w:rFonts w:ascii="Times New Roman" w:hAnsi="Times New Roman" w:cs="Times New Roman"/>
          <w:sz w:val="26"/>
          <w:szCs w:val="26"/>
          <w:lang w:eastAsia="ar-SA"/>
        </w:rPr>
      </w:pPr>
      <w:bookmarkStart w:id="5" w:name="_Hlk201918330"/>
      <w:r>
        <w:rPr>
          <w:rFonts w:cs="Times New Roman" w:ascii="Times New Roman" w:hAnsi="Times New Roman"/>
          <w:sz w:val="26"/>
          <w:szCs w:val="26"/>
          <w:lang w:eastAsia="ar-SA"/>
        </w:rPr>
        <w:t xml:space="preserve">Комиссия Управления Федеральной антимонопольной службы по Самарской области (далее - Самарское УФАС России) по контролю в сфере закупок в составе комиссии: </w:t>
      </w:r>
      <w:bookmarkEnd w:id="5"/>
    </w:p>
    <w:p>
      <w:pPr>
        <w:pStyle w:val="Heading1"/>
        <w:numPr>
          <w:ilvl w:val="0"/>
          <w:numId w:val="0"/>
        </w:numPr>
        <w:tabs>
          <w:tab w:val="left" w:pos="0" w:leader="none"/>
          <w:tab w:val="left" w:pos="708" w:leader="none"/>
        </w:tabs>
        <w:ind w:firstLine="709" w:left="0"/>
        <w:jc w:val="both"/>
        <w:rPr>
          <w:sz w:val="26"/>
          <w:szCs w:val="26"/>
        </w:rPr>
      </w:pPr>
      <w:r>
        <w:rPr>
          <w:sz w:val="26"/>
          <w:szCs w:val="26"/>
        </w:rPr>
        <w:t xml:space="preserve">рассмотрев в порядке, установленном статьей 106 </w:t>
      </w:r>
      <w:bookmarkStart w:id="6" w:name="_Hlk127785467"/>
      <w:r>
        <w:rPr>
          <w:sz w:val="26"/>
          <w:szCs w:val="26"/>
        </w:rPr>
        <w:t>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bookmarkEnd w:id="6"/>
      <w:r>
        <w:rPr>
          <w:sz w:val="26"/>
          <w:szCs w:val="26"/>
        </w:rPr>
        <w:t xml:space="preserve">, </w:t>
      </w:r>
      <w:bookmarkStart w:id="7" w:name="_Hlk201918437"/>
      <w:r>
        <w:rPr>
          <w:sz w:val="26"/>
          <w:szCs w:val="26"/>
        </w:rPr>
        <w:t xml:space="preserve">жалобу </w:t>
      </w:r>
      <w:bookmarkEnd w:id="7"/>
      <w:r>
        <w:rPr>
          <w:sz w:val="26"/>
          <w:szCs w:val="26"/>
        </w:rPr>
        <w:t>ИП КРАВЧЕНКО А.В  на положения извещения при проведении электронного аукциона на поставку, расстановка, монтаж и пуско-наладка систем ультразвуковой визуализации на объекте: «Проектирование и строительство здания детской поликлиники на 500 посещений в смену в г.о. Самара по адресу: г. Самара, в границах улиц Н. Панова, Часовой и Ерошевского» (извещение №   0142200001325019678, начальная (максимальная) цена контракта - 24 360 000,00),</w:t>
      </w:r>
    </w:p>
    <w:p>
      <w:pPr>
        <w:pStyle w:val="Heading1"/>
        <w:numPr>
          <w:ilvl w:val="0"/>
          <w:numId w:val="0"/>
        </w:numPr>
        <w:tabs>
          <w:tab w:val="left" w:pos="0" w:leader="none"/>
          <w:tab w:val="left" w:pos="708" w:leader="none"/>
        </w:tabs>
        <w:ind w:firstLine="709" w:left="0"/>
        <w:jc w:val="both"/>
        <w:rPr>
          <w:sz w:val="26"/>
          <w:szCs w:val="26"/>
        </w:rPr>
      </w:pPr>
      <w:r>
        <w:rPr>
          <w:sz w:val="26"/>
          <w:szCs w:val="26"/>
        </w:rPr>
        <w:t xml:space="preserve">в присутствии представителей: от Заказчика, Уполномоченного органа (доверенности), от Заявителя представитель не подключился, извещен надлежащим образом, </w:t>
      </w:r>
    </w:p>
    <w:p>
      <w:pPr>
        <w:pStyle w:val="Normal"/>
        <w:numPr>
          <w:ilvl w:val="0"/>
          <w:numId w:val="0"/>
        </w:numPr>
        <w:tabs>
          <w:tab w:val="left" w:pos="0" w:leader="none"/>
          <w:tab w:val="left" w:pos="708" w:leader="none"/>
        </w:tabs>
        <w:ind w:firstLine="709" w:left="0"/>
        <w:jc w:val="both"/>
        <w:rPr>
          <w:sz w:val="26"/>
          <w:szCs w:val="26"/>
        </w:rPr>
      </w:pPr>
      <w:r>
        <w:rPr>
          <w:sz w:val="26"/>
          <w:szCs w:val="26"/>
        </w:rPr>
      </w:r>
    </w:p>
    <w:p>
      <w:pPr>
        <w:pStyle w:val="Normal"/>
        <w:suppressAutoHyphens w:val="true"/>
        <w:spacing w:lineRule="auto" w:line="240" w:before="0" w:after="0"/>
        <w:ind w:firstLine="709"/>
        <w:contextualSpacing/>
        <w:jc w:val="center"/>
        <w:rPr>
          <w:rFonts w:ascii="Times New Roman" w:hAnsi="Times New Roman" w:cs="Times New Roman"/>
          <w:sz w:val="26"/>
          <w:szCs w:val="26"/>
          <w:lang w:eastAsia="ar-SA"/>
        </w:rPr>
      </w:pPr>
      <w:r>
        <w:rPr>
          <w:rFonts w:cs="Times New Roman" w:ascii="Times New Roman" w:hAnsi="Times New Roman"/>
          <w:sz w:val="26"/>
          <w:szCs w:val="26"/>
          <w:lang w:eastAsia="ar-SA"/>
        </w:rPr>
        <w:t>У С Т А Н О В И Л А:</w:t>
      </w:r>
    </w:p>
    <w:p>
      <w:pPr>
        <w:pStyle w:val="Normal"/>
        <w:suppressAutoHyphens w:val="true"/>
        <w:spacing w:lineRule="auto" w:line="240" w:before="0" w:after="0"/>
        <w:ind w:firstLine="709"/>
        <w:contextualSpacing/>
        <w:jc w:val="both"/>
        <w:rPr>
          <w:rFonts w:ascii="Times New Roman" w:hAnsi="Times New Roman" w:cs="Times New Roman"/>
          <w:sz w:val="26"/>
          <w:szCs w:val="26"/>
          <w:lang w:eastAsia="ar-SA"/>
        </w:rPr>
      </w:pPr>
      <w:r>
        <w:rPr>
          <w:rFonts w:cs="Times New Roman" w:ascii="Times New Roman" w:hAnsi="Times New Roman"/>
          <w:sz w:val="26"/>
          <w:szCs w:val="26"/>
          <w:lang w:eastAsia="ar-SA"/>
        </w:rPr>
      </w:r>
    </w:p>
    <w:p>
      <w:pPr>
        <w:pStyle w:val="parametervalue"/>
        <w:spacing w:lineRule="atLeast" w:line="20" w:beforeAutospacing="0" w:before="0" w:afterAutospacing="0" w:after="0"/>
        <w:ind w:firstLine="709"/>
        <w:contextualSpacing/>
        <w:jc w:val="both"/>
        <w:rPr>
          <w:sz w:val="26"/>
          <w:szCs w:val="26"/>
          <w:lang w:eastAsia="ar-SA"/>
        </w:rPr>
      </w:pPr>
      <w:r>
        <w:rPr>
          <w:sz w:val="26"/>
          <w:szCs w:val="26"/>
          <w:lang w:eastAsia="ar-SA"/>
        </w:rPr>
        <w:t>В Самарское УФАС России поступила жалоба на положения извещения, приложений к нему при проведении электронного аукциона.</w:t>
      </w:r>
    </w:p>
    <w:p>
      <w:pPr>
        <w:pStyle w:val="parametervalue"/>
        <w:spacing w:lineRule="atLeast" w:line="20" w:before="280" w:after="0"/>
        <w:ind w:firstLine="709"/>
        <w:contextualSpacing/>
        <w:jc w:val="both"/>
        <w:rPr>
          <w:sz w:val="26"/>
          <w:szCs w:val="26"/>
          <w:lang w:eastAsia="ar-SA"/>
        </w:rPr>
      </w:pPr>
      <w:r>
        <w:rPr>
          <w:sz w:val="26"/>
          <w:szCs w:val="26"/>
          <w:lang w:eastAsia="ar-SA"/>
        </w:rPr>
        <w:t>1. Приведенным в документации техническим характеристикам, в полной мере, не соответствует ни одна из моделей ультразвукового диагностического оборудования российского производства, присутствующая в едином реестре радиоэлектронной продукции. Описание объекта закупки соответствует продукции исключительно иностранного производства более низкого качества, по завышенной цене.</w:t>
      </w:r>
    </w:p>
    <w:p>
      <w:pPr>
        <w:pStyle w:val="parametervalue"/>
        <w:spacing w:lineRule="atLeast" w:line="20" w:before="280" w:after="0"/>
        <w:ind w:firstLine="709"/>
        <w:contextualSpacing/>
        <w:jc w:val="both"/>
        <w:rPr>
          <w:sz w:val="26"/>
          <w:szCs w:val="26"/>
          <w:lang w:eastAsia="ar-SA"/>
        </w:rPr>
      </w:pPr>
      <w:r>
        <w:rPr>
          <w:sz w:val="26"/>
          <w:szCs w:val="26"/>
          <w:lang w:eastAsia="ar-SA"/>
        </w:rPr>
        <w:t>2. Заказчиком не установил ограничения в соответствии с Постановлением Правительства №878.</w:t>
      </w:r>
    </w:p>
    <w:p>
      <w:pPr>
        <w:pStyle w:val="parametervalue"/>
        <w:spacing w:lineRule="atLeast" w:line="20" w:before="280" w:after="0"/>
        <w:ind w:firstLine="709"/>
        <w:contextualSpacing/>
        <w:jc w:val="both"/>
        <w:rPr>
          <w:sz w:val="26"/>
          <w:szCs w:val="26"/>
          <w:lang w:eastAsia="ar-SA"/>
        </w:rPr>
      </w:pPr>
      <w:r>
        <w:rPr>
          <w:sz w:val="26"/>
          <w:szCs w:val="26"/>
          <w:lang w:eastAsia="ar-SA"/>
        </w:rPr>
        <w:t>3. Заказчик не применил Постановление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Заказчик не сформулировал требования в отношении ПО, что нарушает ч.3 ст.7 Закона о контрактной системе. В данной закупке ПО не является предустановленным.</w:t>
      </w:r>
    </w:p>
    <w:p>
      <w:pPr>
        <w:pStyle w:val="parametervalue"/>
        <w:spacing w:lineRule="atLeast" w:line="20" w:before="280" w:after="0"/>
        <w:ind w:firstLine="709"/>
        <w:contextualSpacing/>
        <w:jc w:val="both"/>
        <w:rPr>
          <w:sz w:val="26"/>
          <w:szCs w:val="26"/>
          <w:lang w:eastAsia="ar-SA"/>
        </w:rPr>
      </w:pPr>
      <w:r>
        <w:rPr>
          <w:sz w:val="26"/>
          <w:szCs w:val="26"/>
          <w:lang w:eastAsia="ar-SA"/>
        </w:rPr>
        <w:t>4. Имеются нарушения в извещении о закупке и в проекте контракта (не указаны контактные данные сотрудников конечного получателя и функционального заказчика ЛПУ, а также срок действия и окончания контракта.</w:t>
      </w:r>
    </w:p>
    <w:p>
      <w:pPr>
        <w:pStyle w:val="parametervalue"/>
        <w:spacing w:lineRule="atLeast" w:line="20" w:before="280" w:after="0"/>
        <w:ind w:firstLine="709"/>
        <w:contextualSpacing/>
        <w:jc w:val="both"/>
        <w:rPr>
          <w:sz w:val="26"/>
          <w:szCs w:val="26"/>
          <w:lang w:eastAsia="ar-SA"/>
        </w:rPr>
      </w:pPr>
      <w:r>
        <w:rPr>
          <w:sz w:val="26"/>
          <w:szCs w:val="26"/>
          <w:lang w:eastAsia="ar-SA"/>
        </w:rPr>
        <w:t>5. 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 Нарушены правила использования каталога товаров, работ, услуг для обеспечения государственных и муниципальных нужд.</w:t>
      </w:r>
    </w:p>
    <w:p>
      <w:pPr>
        <w:pStyle w:val="parametervalue"/>
        <w:spacing w:lineRule="atLeast" w:line="20" w:before="280" w:after="0"/>
        <w:ind w:firstLine="709"/>
        <w:contextualSpacing/>
        <w:jc w:val="both"/>
        <w:rPr>
          <w:sz w:val="26"/>
          <w:szCs w:val="26"/>
          <w:lang w:eastAsia="ar-SA"/>
        </w:rPr>
      </w:pPr>
      <w:r>
        <w:rPr>
          <w:sz w:val="26"/>
          <w:szCs w:val="26"/>
          <w:lang w:eastAsia="ar-SA"/>
        </w:rPr>
        <w:t>Заявитель просит признать жалобу обоснованной, выдать предписание об устранении допущенных нарушений, направить жалобу в органы внутреннего финансового контроля для проведения проверки обоснования НМЦК. Кроме того, по мнению Заявителя, действия Заказчика при осуществлении закупки ограничивают конкуренцию, в связи с чем Заявитель просит передать материалы жалобы для рассмотрения действий Заказчика на предмет соблюдения статьей 15, 16, 17 Федерального закона от 26.07.2006 № 135-ФЗ «О защите конкуренции» в соответствующий отдел территориального управления.</w:t>
      </w:r>
    </w:p>
    <w:p>
      <w:pPr>
        <w:pStyle w:val="parametervalue"/>
        <w:spacing w:lineRule="atLeast" w:line="20" w:before="280" w:after="0"/>
        <w:ind w:firstLine="709"/>
        <w:contextualSpacing/>
        <w:jc w:val="both"/>
        <w:rPr>
          <w:sz w:val="26"/>
          <w:szCs w:val="26"/>
          <w:lang w:eastAsia="ar-SA"/>
        </w:rPr>
      </w:pPr>
      <w:r>
        <w:rPr>
          <w:sz w:val="26"/>
          <w:szCs w:val="26"/>
          <w:lang w:eastAsia="ar-SA"/>
        </w:rPr>
        <w:t>До начала рассмотрения жалобы от заявителя письменно поступил ряд ходатайств, рассмотренных Комиссией Самарского УФАС России:</w:t>
      </w:r>
    </w:p>
    <w:p>
      <w:pPr>
        <w:pStyle w:val="parametervalue"/>
        <w:spacing w:lineRule="atLeast" w:line="20" w:beforeAutospacing="0" w:before="0" w:afterAutospacing="0" w:after="0"/>
        <w:ind w:firstLine="709"/>
        <w:contextualSpacing/>
        <w:jc w:val="both"/>
        <w:rPr>
          <w:sz w:val="26"/>
          <w:szCs w:val="26"/>
          <w:lang w:eastAsia="ar-SA"/>
        </w:rPr>
      </w:pPr>
      <w:r>
        <w:rPr>
          <w:sz w:val="26"/>
          <w:szCs w:val="26"/>
          <w:lang w:eastAsia="ar-SA"/>
        </w:rPr>
        <w:t>Ходатайство о рассмотрении дополнительных доводов на заседании, в случае наличия вновь открывшихся обстоятельств при рассмотрении жалобы не удовлетворено, поскольку возможность заявления дополнительных доводов о несоответствии положений извещения закону ограничено сроками подачи жалобы на положения извещения.</w:t>
      </w:r>
    </w:p>
    <w:p>
      <w:pPr>
        <w:pStyle w:val="parametervalue"/>
        <w:spacing w:lineRule="atLeast" w:line="20" w:beforeAutospacing="0" w:before="0" w:afterAutospacing="0" w:after="0"/>
        <w:ind w:firstLine="709"/>
        <w:contextualSpacing/>
        <w:jc w:val="both"/>
        <w:rPr>
          <w:sz w:val="26"/>
          <w:szCs w:val="26"/>
          <w:lang w:eastAsia="ar-SA"/>
        </w:rPr>
      </w:pPr>
      <w:r>
        <w:rPr>
          <w:sz w:val="26"/>
          <w:szCs w:val="26"/>
          <w:lang w:eastAsia="ar-SA"/>
        </w:rPr>
        <w:t>Ходатайство о направлении жалобы в органы внутреннего финансового контроля удовлетворено.</w:t>
      </w:r>
    </w:p>
    <w:p>
      <w:pPr>
        <w:pStyle w:val="parametervalue"/>
        <w:spacing w:lineRule="atLeast" w:line="20" w:beforeAutospacing="0" w:before="0" w:afterAutospacing="0" w:after="0"/>
        <w:ind w:firstLine="709"/>
        <w:contextualSpacing/>
        <w:jc w:val="both"/>
        <w:rPr>
          <w:sz w:val="26"/>
          <w:szCs w:val="26"/>
          <w:lang w:eastAsia="ar-SA"/>
        </w:rPr>
      </w:pPr>
      <w:r>
        <w:rPr>
          <w:sz w:val="26"/>
          <w:szCs w:val="26"/>
          <w:lang w:eastAsia="ar-SA"/>
        </w:rPr>
        <w:t>Ходатайство о переносе даты и времени рассмотрения жалобы не удовлетворено, поскольку время заседаний устанавливается в соответствии с рабочим графиком Самарского УФАС России.</w:t>
      </w:r>
    </w:p>
    <w:p>
      <w:pPr>
        <w:pStyle w:val="11"/>
        <w:spacing w:lineRule="atLeast" w:line="20" w:before="0" w:after="0"/>
        <w:ind w:firstLine="709"/>
        <w:contextualSpacing/>
        <w:jc w:val="both"/>
        <w:rPr>
          <w:sz w:val="26"/>
          <w:szCs w:val="26"/>
          <w:lang w:val="x-none"/>
        </w:rPr>
      </w:pPr>
      <w:r>
        <w:rPr>
          <w:sz w:val="26"/>
          <w:szCs w:val="26"/>
        </w:rPr>
        <w:t xml:space="preserve">ИП </w:t>
      </w:r>
      <w:r>
        <w:rPr>
          <w:sz w:val="26"/>
          <w:szCs w:val="26"/>
          <w:lang w:val="x-none"/>
        </w:rPr>
        <w:t>заявлены доводы о нарушении Федерального закона от 26.07.2006 № 135-ФЗ «О защите конкуренции».</w:t>
      </w:r>
    </w:p>
    <w:p>
      <w:pPr>
        <w:pStyle w:val="11"/>
        <w:spacing w:lineRule="atLeast" w:line="20" w:before="0" w:after="0"/>
        <w:ind w:firstLine="709"/>
        <w:contextualSpacing/>
        <w:jc w:val="both"/>
        <w:rPr>
          <w:sz w:val="26"/>
          <w:szCs w:val="26"/>
          <w:lang w:val="x-none"/>
        </w:rPr>
      </w:pPr>
      <w:r>
        <w:rPr>
          <w:sz w:val="26"/>
          <w:szCs w:val="26"/>
          <w:lang w:val="x-none"/>
        </w:rPr>
        <w:t>Часть 1 статьи 1 Закона о контрактной системе устанавливает, что Закон о контрактной системе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p>
      <w:pPr>
        <w:pStyle w:val="11"/>
        <w:spacing w:lineRule="atLeast" w:line="20" w:before="0" w:after="0"/>
        <w:ind w:firstLine="709"/>
        <w:contextualSpacing/>
        <w:jc w:val="both"/>
        <w:rPr>
          <w:sz w:val="26"/>
          <w:szCs w:val="26"/>
          <w:lang w:val="x-none"/>
        </w:rPr>
      </w:pPr>
      <w:r>
        <w:rPr>
          <w:sz w:val="26"/>
          <w:szCs w:val="26"/>
          <w:lang w:val="x-none"/>
        </w:rPr>
        <w:t>1) планирования закупок товаров, работ, услуг;</w:t>
      </w:r>
    </w:p>
    <w:p>
      <w:pPr>
        <w:pStyle w:val="11"/>
        <w:spacing w:lineRule="atLeast" w:line="20" w:before="0" w:after="0"/>
        <w:ind w:firstLine="709"/>
        <w:contextualSpacing/>
        <w:jc w:val="both"/>
        <w:rPr>
          <w:sz w:val="26"/>
          <w:szCs w:val="26"/>
          <w:lang w:val="x-none"/>
        </w:rPr>
      </w:pPr>
      <w:r>
        <w:rPr>
          <w:sz w:val="26"/>
          <w:szCs w:val="26"/>
          <w:lang w:val="x-none"/>
        </w:rPr>
        <w:t>2) определения поставщиков (подрядчиков, исполнителей);</w:t>
      </w:r>
    </w:p>
    <w:p>
      <w:pPr>
        <w:pStyle w:val="11"/>
        <w:spacing w:lineRule="atLeast" w:line="20" w:before="0" w:after="0"/>
        <w:ind w:firstLine="709"/>
        <w:contextualSpacing/>
        <w:jc w:val="both"/>
        <w:rPr>
          <w:sz w:val="26"/>
          <w:szCs w:val="26"/>
          <w:lang w:val="x-none"/>
        </w:rPr>
      </w:pPr>
      <w:r>
        <w:rPr>
          <w:sz w:val="26"/>
          <w:szCs w:val="26"/>
          <w:lang w:val="x-none"/>
        </w:rPr>
        <w:t>3) заключения предусмотренных Законом о контрактной системе контрактов;</w:t>
      </w:r>
    </w:p>
    <w:p>
      <w:pPr>
        <w:pStyle w:val="11"/>
        <w:spacing w:lineRule="atLeast" w:line="20" w:before="0" w:after="0"/>
        <w:ind w:firstLine="709"/>
        <w:contextualSpacing/>
        <w:jc w:val="both"/>
        <w:rPr>
          <w:sz w:val="26"/>
          <w:szCs w:val="26"/>
          <w:lang w:val="x-none"/>
        </w:rPr>
      </w:pPr>
      <w:r>
        <w:rPr>
          <w:sz w:val="26"/>
          <w:szCs w:val="26"/>
          <w:lang w:val="x-none"/>
        </w:rPr>
        <w:t>4) особенностей исполнения контрактов;</w:t>
      </w:r>
    </w:p>
    <w:p>
      <w:pPr>
        <w:pStyle w:val="11"/>
        <w:spacing w:lineRule="atLeast" w:line="20" w:before="0" w:after="0"/>
        <w:ind w:firstLine="709"/>
        <w:contextualSpacing/>
        <w:jc w:val="both"/>
        <w:rPr>
          <w:sz w:val="26"/>
          <w:szCs w:val="26"/>
          <w:lang w:val="x-none"/>
        </w:rPr>
      </w:pPr>
      <w:r>
        <w:rPr>
          <w:sz w:val="26"/>
          <w:szCs w:val="26"/>
          <w:lang w:val="x-none"/>
        </w:rPr>
        <w:t>5) мониторинга закупок товаров, работ, услуг;</w:t>
      </w:r>
    </w:p>
    <w:p>
      <w:pPr>
        <w:pStyle w:val="11"/>
        <w:spacing w:lineRule="atLeast" w:line="20" w:before="0" w:after="0"/>
        <w:ind w:firstLine="709"/>
        <w:contextualSpacing/>
        <w:jc w:val="both"/>
        <w:rPr>
          <w:sz w:val="26"/>
          <w:szCs w:val="26"/>
          <w:lang w:val="x-none"/>
        </w:rPr>
      </w:pPr>
      <w:r>
        <w:rPr>
          <w:sz w:val="26"/>
          <w:szCs w:val="26"/>
          <w:lang w:val="x-none"/>
        </w:rPr>
        <w:t>6) аудита в сфере закупок товаров, работ, услуг;</w:t>
      </w:r>
    </w:p>
    <w:p>
      <w:pPr>
        <w:pStyle w:val="11"/>
        <w:spacing w:lineRule="atLeast" w:line="20" w:before="0" w:after="0"/>
        <w:ind w:firstLine="709"/>
        <w:contextualSpacing/>
        <w:jc w:val="both"/>
        <w:rPr>
          <w:sz w:val="26"/>
          <w:szCs w:val="26"/>
          <w:lang w:val="x-none"/>
        </w:rPr>
      </w:pPr>
      <w:r>
        <w:rPr>
          <w:sz w:val="26"/>
          <w:szCs w:val="26"/>
          <w:lang w:val="x-none"/>
        </w:rP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11"/>
        <w:spacing w:lineRule="atLeast" w:line="20" w:before="0" w:after="0"/>
        <w:ind w:firstLine="709"/>
        <w:contextualSpacing/>
        <w:jc w:val="both"/>
        <w:rPr>
          <w:sz w:val="26"/>
          <w:szCs w:val="26"/>
          <w:lang w:val="x-none"/>
        </w:rPr>
      </w:pPr>
      <w:r>
        <w:rPr>
          <w:sz w:val="26"/>
          <w:szCs w:val="26"/>
          <w:lang w:val="x-none"/>
        </w:rPr>
        <w:t>Часть 1 статьи 1 Закона о защите конкуренции устанавливает, что Закон о защите конкуренции определяет организационные и правовые основы защиты конкуренции, в том числе предупреждения и пресечения:</w:t>
      </w:r>
    </w:p>
    <w:p>
      <w:pPr>
        <w:pStyle w:val="11"/>
        <w:spacing w:lineRule="atLeast" w:line="20" w:before="0" w:after="0"/>
        <w:ind w:firstLine="709"/>
        <w:contextualSpacing/>
        <w:jc w:val="both"/>
        <w:rPr>
          <w:sz w:val="26"/>
          <w:szCs w:val="26"/>
          <w:lang w:val="x-none"/>
        </w:rPr>
      </w:pPr>
      <w:r>
        <w:rPr>
          <w:sz w:val="26"/>
          <w:szCs w:val="26"/>
          <w:lang w:val="x-none"/>
        </w:rPr>
        <w:t>1) монополистической деятельности и недобросовестной конкуренции;</w:t>
      </w:r>
    </w:p>
    <w:p>
      <w:pPr>
        <w:pStyle w:val="11"/>
        <w:spacing w:lineRule="atLeast" w:line="20" w:before="0" w:after="0"/>
        <w:ind w:firstLine="709"/>
        <w:contextualSpacing/>
        <w:jc w:val="both"/>
        <w:rPr>
          <w:sz w:val="26"/>
          <w:szCs w:val="26"/>
          <w:lang w:val="x-none"/>
        </w:rPr>
      </w:pPr>
      <w:r>
        <w:rPr>
          <w:sz w:val="26"/>
          <w:szCs w:val="26"/>
          <w:lang w:val="x-none"/>
        </w:rPr>
        <w:t>2) недопущения, ограничения, устранения конкуренции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Центральным банком Российской Федерации.</w:t>
      </w:r>
    </w:p>
    <w:p>
      <w:pPr>
        <w:pStyle w:val="11"/>
        <w:spacing w:lineRule="atLeast" w:line="20" w:before="0" w:after="0"/>
        <w:ind w:firstLine="709"/>
        <w:contextualSpacing/>
        <w:jc w:val="both"/>
        <w:rPr>
          <w:sz w:val="26"/>
          <w:szCs w:val="26"/>
          <w:lang w:val="x-none"/>
        </w:rPr>
      </w:pPr>
      <w:r>
        <w:rPr>
          <w:sz w:val="26"/>
          <w:szCs w:val="26"/>
          <w:lang w:val="x-none"/>
        </w:rPr>
        <w:t>Главой 4 Закона о защите конкуренции установлены специальные нормы, устанавливающие антимонопольные требования к торгам.</w:t>
      </w:r>
    </w:p>
    <w:p>
      <w:pPr>
        <w:pStyle w:val="11"/>
        <w:spacing w:lineRule="atLeast" w:line="20" w:before="0" w:after="0"/>
        <w:ind w:firstLine="709"/>
        <w:contextualSpacing/>
        <w:jc w:val="both"/>
        <w:rPr>
          <w:sz w:val="26"/>
          <w:szCs w:val="26"/>
          <w:lang w:val="x-none"/>
        </w:rPr>
      </w:pPr>
      <w:r>
        <w:rPr>
          <w:sz w:val="26"/>
          <w:szCs w:val="26"/>
          <w:lang w:val="x-none"/>
        </w:rPr>
        <w:t>Ввиду указанного антимонопольный орган не осуществляет рассмотрение обращений (заявлений, жалоб) о нарушении антимонопольного законодательства в порядке главы 6 Закона о контрактной системе, который регламентирует порядок рассмотрения жалоб на нарушение требований законодательства о контрактной системе.</w:t>
      </w:r>
    </w:p>
    <w:p>
      <w:pPr>
        <w:pStyle w:val="11"/>
        <w:spacing w:lineRule="atLeast" w:line="20" w:before="0" w:after="0"/>
        <w:ind w:firstLine="709"/>
        <w:contextualSpacing/>
        <w:jc w:val="both"/>
        <w:rPr>
          <w:sz w:val="26"/>
          <w:szCs w:val="26"/>
          <w:lang w:val="x-none"/>
        </w:rPr>
      </w:pPr>
      <w:r>
        <w:rPr>
          <w:sz w:val="26"/>
          <w:szCs w:val="26"/>
          <w:lang w:val="x-none"/>
        </w:rPr>
        <w:t>Таким образом, обращения о нарушении антимонопольного законодательства при осуществлении торгов в порядке, предусмотренном законодательством о контрактной системе, подлежат рассмотрению в соответствии с требованиями, установленными статьей 44 Закона о защите конкуренции, которая предусматривает специальные сроки рассмотрения обращения и требования к содержанию обращения (заявления).</w:t>
      </w:r>
    </w:p>
    <w:p>
      <w:pPr>
        <w:pStyle w:val="11"/>
        <w:spacing w:lineRule="atLeast" w:line="20" w:before="0" w:after="0"/>
        <w:ind w:firstLine="709"/>
        <w:contextualSpacing/>
        <w:jc w:val="both"/>
        <w:rPr>
          <w:sz w:val="26"/>
          <w:szCs w:val="26"/>
          <w:lang w:val="x-none"/>
        </w:rPr>
      </w:pPr>
      <w:r>
        <w:rPr>
          <w:sz w:val="26"/>
          <w:szCs w:val="26"/>
          <w:lang w:val="x-none"/>
        </w:rPr>
        <w:t>При этом настоящее решение не лишает Заявителя права обратиться с заявлением в адрес антимонопольного органа в порядке, предусмотренном статьей 44 Закона о защите конкуренции.</w:t>
      </w:r>
    </w:p>
    <w:p>
      <w:pPr>
        <w:pStyle w:val="Normal"/>
        <w:suppressAutoHyphens w:val="true"/>
        <w:spacing w:lineRule="atLeast" w:line="20" w:before="0" w:after="0"/>
        <w:ind w:firstLine="709"/>
        <w:contextualSpacing/>
        <w:jc w:val="both"/>
        <w:rPr>
          <w:rFonts w:ascii="Times New Roman" w:hAnsi="Times New Roman" w:cs="Times New Roman"/>
          <w:sz w:val="26"/>
          <w:szCs w:val="26"/>
          <w:lang w:eastAsia="ar-SA"/>
        </w:rPr>
      </w:pPr>
      <w:r>
        <w:rPr>
          <w:rFonts w:cs="Times New Roman" w:ascii="Times New Roman" w:hAnsi="Times New Roman"/>
          <w:sz w:val="26"/>
          <w:szCs w:val="26"/>
          <w:lang w:eastAsia="ar-SA"/>
        </w:rPr>
        <w:t>Заказчик против доводов жалобы возражал, просил признать жалобу необоснованной, представил письменные возражения на жалобу. Уполномоченный орган поддержал позицию Заказчика.</w:t>
      </w:r>
    </w:p>
    <w:p>
      <w:pPr>
        <w:pStyle w:val="Normal"/>
        <w:suppressAutoHyphens w:val="true"/>
        <w:spacing w:lineRule="atLeast" w:line="20" w:before="0" w:after="0"/>
        <w:ind w:firstLine="709"/>
        <w:contextualSpacing/>
        <w:jc w:val="both"/>
        <w:rPr>
          <w:rFonts w:ascii="Times New Roman" w:hAnsi="Times New Roman" w:cs="Times New Roman"/>
          <w:sz w:val="26"/>
          <w:szCs w:val="26"/>
          <w:lang w:eastAsia="ar-SA"/>
        </w:rPr>
      </w:pPr>
      <w:r>
        <w:rPr>
          <w:rFonts w:cs="Times New Roman" w:ascii="Times New Roman" w:hAnsi="Times New Roman"/>
          <w:sz w:val="26"/>
          <w:szCs w:val="26"/>
          <w:lang w:eastAsia="ar-SA"/>
        </w:rPr>
        <w:t>Изучив материалы жалобы, письменные возражения на жалобу, извещение об осуществлении закупки, протоколы, заявки участников, проведя в соответствии с частью 15 статьи 99 Закона о контрактной системе внеплановую проверку, Комиссия Самарского УФАС России установила следующее.</w:t>
      </w:r>
    </w:p>
    <w:p>
      <w:pPr>
        <w:pStyle w:val="Normal"/>
        <w:suppressAutoHyphens w:val="true"/>
        <w:spacing w:lineRule="atLeast" w:line="20" w:before="0" w:after="0"/>
        <w:ind w:firstLine="709"/>
        <w:contextualSpacing/>
        <w:jc w:val="both"/>
        <w:rPr>
          <w:rFonts w:ascii="Times New Roman" w:hAnsi="Times New Roman" w:cs="Times New Roman"/>
          <w:sz w:val="26"/>
          <w:szCs w:val="26"/>
          <w:lang w:eastAsia="ar-SA"/>
        </w:rPr>
      </w:pPr>
      <w:r>
        <w:rPr>
          <w:rFonts w:cs="Times New Roman" w:ascii="Times New Roman" w:hAnsi="Times New Roman"/>
          <w:sz w:val="26"/>
          <w:szCs w:val="26"/>
          <w:lang w:eastAsia="ar-SA"/>
        </w:rPr>
      </w:r>
    </w:p>
    <w:p>
      <w:pPr>
        <w:pStyle w:val="11"/>
        <w:spacing w:lineRule="atLeast" w:line="20" w:before="0" w:after="0"/>
        <w:ind w:firstLine="709"/>
        <w:contextualSpacing/>
        <w:jc w:val="both"/>
        <w:rPr>
          <w:sz w:val="26"/>
          <w:szCs w:val="26"/>
        </w:rPr>
      </w:pPr>
      <w:r>
        <w:rPr>
          <w:sz w:val="26"/>
          <w:szCs w:val="26"/>
        </w:rPr>
        <w:t>1. Относительно довода о нарушениях в описании объекта закупки установлено следующее.</w:t>
      </w:r>
    </w:p>
    <w:p>
      <w:pPr>
        <w:pStyle w:val="11"/>
        <w:spacing w:lineRule="atLeast" w:line="20" w:before="0" w:after="0"/>
        <w:ind w:firstLine="709"/>
        <w:contextualSpacing/>
        <w:jc w:val="both"/>
        <w:rPr>
          <w:sz w:val="26"/>
          <w:szCs w:val="26"/>
        </w:rPr>
      </w:pPr>
      <w:r>
        <w:rPr>
          <w:sz w:val="26"/>
          <w:szCs w:val="26"/>
        </w:rPr>
        <w:t>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11"/>
        <w:spacing w:lineRule="atLeast" w:line="20" w:before="0" w:after="0"/>
        <w:ind w:firstLine="709"/>
        <w:contextualSpacing/>
        <w:jc w:val="both"/>
        <w:rPr>
          <w:sz w:val="26"/>
          <w:szCs w:val="26"/>
        </w:rPr>
      </w:pPr>
      <w:r>
        <w:rPr>
          <w:sz w:val="26"/>
          <w:szCs w:val="26"/>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11"/>
        <w:spacing w:lineRule="atLeast" w:line="20" w:before="0" w:after="0"/>
        <w:ind w:firstLine="709"/>
        <w:contextualSpacing/>
        <w:jc w:val="both"/>
        <w:rPr>
          <w:sz w:val="26"/>
          <w:szCs w:val="26"/>
        </w:rPr>
      </w:pPr>
      <w:r>
        <w:rPr>
          <w:sz w:val="26"/>
          <w:szCs w:val="26"/>
        </w:rPr>
        <w:t>Кроме того, 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11"/>
        <w:spacing w:lineRule="atLeast" w:line="20" w:before="0" w:after="0"/>
        <w:ind w:firstLine="709"/>
        <w:contextualSpacing/>
        <w:jc w:val="both"/>
        <w:rPr>
          <w:sz w:val="26"/>
          <w:szCs w:val="26"/>
        </w:rPr>
      </w:pPr>
      <w:r>
        <w:rPr>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11"/>
        <w:spacing w:lineRule="atLeast" w:line="20" w:before="0" w:after="0"/>
        <w:ind w:firstLine="709"/>
        <w:contextualSpacing/>
        <w:jc w:val="both"/>
        <w:rPr>
          <w:sz w:val="26"/>
          <w:szCs w:val="26"/>
        </w:rPr>
      </w:pPr>
      <w:r>
        <w:rPr>
          <w:sz w:val="26"/>
          <w:szCs w:val="26"/>
        </w:rPr>
        <w:t>Постановлением Правительства Российской Федерации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каталога), Правила использования каталога товаров, работ, услуг для обеспечения государственных и муниципальных нужд (далее - Правила).</w:t>
      </w:r>
    </w:p>
    <w:p>
      <w:pPr>
        <w:pStyle w:val="11"/>
        <w:spacing w:lineRule="atLeast" w:line="20" w:before="0" w:after="0"/>
        <w:ind w:firstLine="709"/>
        <w:contextualSpacing/>
        <w:jc w:val="both"/>
        <w:rPr>
          <w:sz w:val="26"/>
          <w:szCs w:val="26"/>
        </w:rPr>
      </w:pPr>
      <w:r>
        <w:rPr>
          <w:sz w:val="26"/>
          <w:szCs w:val="26"/>
        </w:rPr>
        <w:t>В соответствии с пунктом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11"/>
        <w:spacing w:lineRule="atLeast" w:line="20" w:before="0" w:after="0"/>
        <w:ind w:firstLine="709"/>
        <w:contextualSpacing/>
        <w:jc w:val="both"/>
        <w:rPr>
          <w:sz w:val="26"/>
          <w:szCs w:val="26"/>
        </w:rPr>
      </w:pPr>
      <w:r>
        <w:rPr>
          <w:sz w:val="26"/>
          <w:szCs w:val="26"/>
        </w:rPr>
        <w:t>а) наименование товара, работы, услуги;</w:t>
      </w:r>
    </w:p>
    <w:p>
      <w:pPr>
        <w:pStyle w:val="11"/>
        <w:spacing w:lineRule="atLeast" w:line="20" w:before="0" w:after="0"/>
        <w:ind w:firstLine="709"/>
        <w:contextualSpacing/>
        <w:jc w:val="both"/>
        <w:rPr>
          <w:sz w:val="26"/>
          <w:szCs w:val="26"/>
        </w:rPr>
      </w:pPr>
      <w:r>
        <w:rPr>
          <w:sz w:val="26"/>
          <w:szCs w:val="26"/>
        </w:rPr>
        <w:t>б) единицы измерения количества товара, объема выполняемой работы, оказываемой услуги (при наличии);</w:t>
      </w:r>
    </w:p>
    <w:p>
      <w:pPr>
        <w:pStyle w:val="11"/>
        <w:spacing w:lineRule="atLeast" w:line="20" w:before="0" w:after="0"/>
        <w:ind w:firstLine="709"/>
        <w:contextualSpacing/>
        <w:jc w:val="both"/>
        <w:rPr>
          <w:sz w:val="26"/>
          <w:szCs w:val="26"/>
        </w:rPr>
      </w:pPr>
      <w:r>
        <w:rPr>
          <w:sz w:val="26"/>
          <w:szCs w:val="26"/>
        </w:rPr>
        <w:t>в) описание товара, работы, услуги (при наличии такого описания в позиции).</w:t>
      </w:r>
    </w:p>
    <w:p>
      <w:pPr>
        <w:pStyle w:val="11"/>
        <w:spacing w:lineRule="atLeast" w:line="20" w:before="0" w:after="0"/>
        <w:ind w:firstLine="709"/>
        <w:contextualSpacing/>
        <w:jc w:val="both"/>
        <w:rPr>
          <w:sz w:val="26"/>
          <w:szCs w:val="26"/>
        </w:rPr>
      </w:pPr>
      <w:r>
        <w:rPr>
          <w:sz w:val="26"/>
          <w:szCs w:val="26"/>
        </w:rPr>
        <w:t>Согласно пункту 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pPr>
        <w:pStyle w:val="11"/>
        <w:spacing w:lineRule="atLeast" w:line="20" w:before="0" w:after="0"/>
        <w:ind w:firstLine="709"/>
        <w:contextualSpacing/>
        <w:jc w:val="both"/>
        <w:rPr>
          <w:sz w:val="26"/>
          <w:szCs w:val="26"/>
        </w:rPr>
      </w:pPr>
      <w:r>
        <w:rPr>
          <w:sz w:val="26"/>
          <w:szCs w:val="26"/>
        </w:rPr>
        <w:t>На основании вышеизложенного, Комиссия отмечает, что при формировании извещения Заказчик, руководствуясь приведенными нормами, обязан установить код позиции КТРУ, соответствующий закупаемому товару.</w:t>
      </w:r>
    </w:p>
    <w:p>
      <w:pPr>
        <w:pStyle w:val="11"/>
        <w:spacing w:lineRule="atLeast" w:line="20" w:before="0" w:after="0"/>
        <w:ind w:firstLine="709"/>
        <w:contextualSpacing/>
        <w:jc w:val="both"/>
        <w:rPr>
          <w:sz w:val="26"/>
          <w:szCs w:val="26"/>
        </w:rPr>
      </w:pPr>
      <w:r>
        <w:rPr>
          <w:sz w:val="26"/>
          <w:szCs w:val="26"/>
        </w:rPr>
        <w:t>Предметом закупки является поставка системы ультразвуковой визуализации универсальная, с питанием от сети.</w:t>
      </w:r>
    </w:p>
    <w:p>
      <w:pPr>
        <w:pStyle w:val="11"/>
        <w:spacing w:lineRule="atLeast" w:line="20" w:before="0" w:after="0"/>
        <w:ind w:firstLine="709"/>
        <w:contextualSpacing/>
        <w:jc w:val="both"/>
        <w:rPr>
          <w:sz w:val="26"/>
          <w:szCs w:val="26"/>
        </w:rPr>
      </w:pPr>
      <w:r>
        <w:rPr>
          <w:sz w:val="26"/>
          <w:szCs w:val="26"/>
        </w:rPr>
        <w:t>Характеристики объекта закупки, включенные Заказчиком в описание объекта закупки, предусмотрены позицией КТРУ 26.60.12.132-00000036 «Система ультразвуковой визуализации универсальная, с питанием от сети».</w:t>
      </w:r>
    </w:p>
    <w:p>
      <w:pPr>
        <w:pStyle w:val="11"/>
        <w:spacing w:lineRule="auto" w:line="240" w:before="0" w:after="0"/>
        <w:ind w:firstLine="709"/>
        <w:contextualSpacing/>
        <w:jc w:val="both"/>
        <w:rPr>
          <w:sz w:val="26"/>
          <w:szCs w:val="26"/>
        </w:rPr>
      </w:pPr>
      <w:r>
        <w:rPr>
          <w:sz w:val="26"/>
          <w:szCs w:val="26"/>
        </w:rPr>
        <w:t xml:space="preserve">Описание объекта закупки Заказчиком составлено в соответствии с КТРУ, дополнительные характеристики не использовались, значения характеристик определены исходя из потребности Заказчика. </w:t>
      </w:r>
    </w:p>
    <w:p>
      <w:pPr>
        <w:pStyle w:val="11"/>
        <w:spacing w:lineRule="auto" w:line="240" w:before="0" w:after="0"/>
        <w:ind w:firstLine="709"/>
        <w:contextualSpacing/>
        <w:jc w:val="both"/>
        <w:rPr>
          <w:sz w:val="26"/>
          <w:szCs w:val="26"/>
        </w:rPr>
      </w:pPr>
      <w:r>
        <w:rPr>
          <w:sz w:val="26"/>
          <w:szCs w:val="26"/>
        </w:rPr>
        <w:t>Комиссия Управления отмечает, что из совокупности положений Закона о контрактной системе следует, что установление требований к техническим, функциональным характеристикам товара,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pPr>
        <w:pStyle w:val="11"/>
        <w:spacing w:lineRule="auto" w:line="240" w:before="0" w:after="0"/>
        <w:ind w:firstLine="709"/>
        <w:contextualSpacing/>
        <w:jc w:val="both"/>
        <w:rPr>
          <w:sz w:val="26"/>
          <w:szCs w:val="26"/>
        </w:rPr>
      </w:pPr>
      <w:r>
        <w:rPr>
          <w:sz w:val="26"/>
          <w:szCs w:val="26"/>
        </w:rPr>
        <w:t>Закон о контрактной системе не содержит норм, ограничивающих право Заказчика включать описание объекта закупки требования, которые являются для него объективно значимыми, и,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11"/>
        <w:spacing w:lineRule="auto" w:line="240" w:before="0" w:after="0"/>
        <w:ind w:firstLine="709"/>
        <w:contextualSpacing/>
        <w:jc w:val="both"/>
        <w:rPr>
          <w:sz w:val="26"/>
          <w:szCs w:val="26"/>
        </w:rPr>
      </w:pPr>
      <w:r>
        <w:rPr>
          <w:sz w:val="26"/>
          <w:szCs w:val="26"/>
        </w:rPr>
        <w:t>Так,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11"/>
        <w:spacing w:lineRule="auto" w:line="240" w:before="0" w:after="0"/>
        <w:ind w:firstLine="709"/>
        <w:contextualSpacing/>
        <w:jc w:val="both"/>
        <w:rPr>
          <w:sz w:val="26"/>
          <w:szCs w:val="26"/>
        </w:rPr>
      </w:pPr>
      <w:r>
        <w:rPr>
          <w:sz w:val="26"/>
          <w:szCs w:val="26"/>
          <w:lang w:eastAsia="ar-SA"/>
        </w:rPr>
        <w:t>Изучив извещение о проведении закупки, а также документы и сведения, представленные на заседании Комиссии, Комиссия приходит к выводу, что вышеуказанные действия Заказчика, в части установления требований к характеристикам товара, не противоречат положениям Закона о контрактной системе.</w:t>
      </w:r>
    </w:p>
    <w:p>
      <w:pPr>
        <w:pStyle w:val="parametervalue"/>
        <w:spacing w:beforeAutospacing="0" w:before="0" w:afterAutospacing="0" w:after="0"/>
        <w:ind w:firstLine="709"/>
        <w:contextualSpacing/>
        <w:jc w:val="both"/>
        <w:rPr>
          <w:sz w:val="26"/>
          <w:szCs w:val="26"/>
          <w:lang w:eastAsia="en-US"/>
        </w:rPr>
      </w:pPr>
      <w:r>
        <w:rPr>
          <w:sz w:val="26"/>
          <w:szCs w:val="26"/>
          <w:lang w:eastAsia="en-US"/>
        </w:rPr>
        <w:t>ИП на заседание Комиссии не представил документов и сведений, позволяющих Комиссии прийти к выводу о нарушении прав и законных интересов Заявителя.</w:t>
      </w:r>
    </w:p>
    <w:p>
      <w:pPr>
        <w:pStyle w:val="parametervalue"/>
        <w:spacing w:beforeAutospacing="0" w:before="0" w:afterAutospacing="0" w:after="0"/>
        <w:ind w:firstLine="709"/>
        <w:contextualSpacing/>
        <w:jc w:val="both"/>
        <w:rPr>
          <w:sz w:val="26"/>
          <w:szCs w:val="26"/>
          <w:lang w:eastAsia="en-US"/>
        </w:rPr>
      </w:pPr>
      <w:r>
        <w:rPr>
          <w:sz w:val="26"/>
          <w:szCs w:val="26"/>
          <w:lang w:eastAsia="en-US"/>
        </w:rPr>
        <w:t>Кроме того, в адрес антимонопольного органа Заказчиком представлена сравнительная таблица, из которой следует, что требованиям технического задания соответствует как минимум два производителя медицинских изделий.</w:t>
      </w:r>
    </w:p>
    <w:p>
      <w:pPr>
        <w:pStyle w:val="parametervalue"/>
        <w:spacing w:beforeAutospacing="0" w:before="0" w:afterAutospacing="0" w:after="0"/>
        <w:ind w:firstLine="709"/>
        <w:contextualSpacing/>
        <w:jc w:val="both"/>
        <w:rPr>
          <w:sz w:val="26"/>
          <w:szCs w:val="26"/>
          <w:lang w:eastAsia="ar-SA"/>
        </w:rPr>
      </w:pPr>
      <w:r>
        <w:rPr>
          <w:sz w:val="26"/>
          <w:szCs w:val="26"/>
          <w:lang w:eastAsia="en-US"/>
        </w:rPr>
        <w:t>Следовательно, довод жалобы Заявителя не нашел своего подтверждения.</w:t>
      </w:r>
    </w:p>
    <w:p>
      <w:pPr>
        <w:pStyle w:val="11"/>
        <w:spacing w:lineRule="auto" w:line="240" w:before="0" w:after="0"/>
        <w:ind w:firstLine="709"/>
        <w:contextualSpacing/>
        <w:jc w:val="both"/>
        <w:rPr>
          <w:sz w:val="26"/>
          <w:szCs w:val="26"/>
        </w:rPr>
      </w:pPr>
      <w:r>
        <w:rPr>
          <w:sz w:val="26"/>
          <w:szCs w:val="26"/>
        </w:rPr>
      </w:r>
    </w:p>
    <w:p>
      <w:pPr>
        <w:pStyle w:val="11"/>
        <w:spacing w:lineRule="auto" w:line="240" w:before="0" w:after="0"/>
        <w:ind w:firstLine="709"/>
        <w:contextualSpacing/>
        <w:jc w:val="both"/>
        <w:rPr>
          <w:sz w:val="26"/>
          <w:szCs w:val="26"/>
        </w:rPr>
      </w:pPr>
      <w:r>
        <w:rPr>
          <w:sz w:val="26"/>
          <w:szCs w:val="26"/>
        </w:rPr>
        <w:t>2. Согласно доводу Заявителя, Заказчиком неправомерно не установлены в Извещении ограничения допуска радиоэлектронной продукции, происходящей из иностранных государств, предусмотренные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 (далее - Постановление № 878).</w:t>
      </w:r>
    </w:p>
    <w:p>
      <w:pPr>
        <w:pStyle w:val="11"/>
        <w:spacing w:lineRule="auto" w:line="240" w:before="0" w:after="0"/>
        <w:ind w:firstLine="709"/>
        <w:contextualSpacing/>
        <w:jc w:val="both"/>
        <w:rPr>
          <w:sz w:val="26"/>
          <w:szCs w:val="26"/>
        </w:rPr>
      </w:pPr>
      <w:r>
        <w:rPr>
          <w:sz w:val="26"/>
          <w:szCs w:val="26"/>
        </w:rPr>
        <w:t xml:space="preserve"> </w:t>
      </w:r>
      <w:r>
        <w:rPr>
          <w:sz w:val="26"/>
          <w:szCs w:val="26"/>
        </w:rPr>
        <w:t>Согласно пункту 18 Постановления Правительства РФ от 23.12.2024 № 1875 абзацы четвертый и пятый пункта 2, пункты 3 – 3(3), 6 – 8 и 10 постановления Правительства Российской Федерации от 10.07.2019 № 878, перечень радиоэлектронной продукции, происходящей из иностранных государств, в отношении которой устанавливаются ограничения для целей осуществления закупок для обеспечения государственных и муниципальных нужд, и изменения, которые вносятся в постановление Правительства Российской Федерации от 16 сентября 2016 г. № 925, утвержденные указанным постановлением, утратили силу с 01.01.2025.</w:t>
      </w:r>
    </w:p>
    <w:p>
      <w:pPr>
        <w:pStyle w:val="11"/>
        <w:spacing w:lineRule="auto" w:line="240" w:before="0" w:after="0"/>
        <w:ind w:firstLine="709"/>
        <w:contextualSpacing/>
        <w:jc w:val="both"/>
        <w:rPr>
          <w:sz w:val="26"/>
          <w:szCs w:val="26"/>
        </w:rPr>
      </w:pPr>
      <w:r>
        <w:rPr>
          <w:sz w:val="26"/>
          <w:szCs w:val="26"/>
        </w:rPr>
        <w:t>Закупка размещена уполномоченным учреждением в ЕИС 21.08.2025.</w:t>
      </w:r>
    </w:p>
    <w:p>
      <w:pPr>
        <w:pStyle w:val="11"/>
        <w:spacing w:lineRule="auto" w:line="240" w:before="0" w:after="0"/>
        <w:ind w:firstLine="709"/>
        <w:contextualSpacing/>
        <w:jc w:val="both"/>
        <w:rPr>
          <w:sz w:val="26"/>
          <w:szCs w:val="26"/>
        </w:rPr>
      </w:pPr>
      <w:r>
        <w:rPr>
          <w:sz w:val="26"/>
          <w:szCs w:val="26"/>
        </w:rPr>
        <w:t>Таким образом, нормы Постановления Правительства РФ от 10.07.2019 № 878 не применимы в рассматриваемой закупке.</w:t>
      </w:r>
    </w:p>
    <w:p>
      <w:pPr>
        <w:pStyle w:val="11"/>
        <w:spacing w:lineRule="auto" w:line="240" w:before="0" w:after="0"/>
        <w:ind w:firstLine="709"/>
        <w:contextualSpacing/>
        <w:jc w:val="both"/>
        <w:rPr>
          <w:sz w:val="26"/>
          <w:szCs w:val="26"/>
        </w:rPr>
      </w:pPr>
      <w:r>
        <w:rPr>
          <w:sz w:val="26"/>
          <w:szCs w:val="26"/>
        </w:rPr>
        <w:t>Между тем, абзацем 3 пункта 1 Постановления Правительства РФ от 23.12.2024 № 1875 установлено, при осуществлении закупок в соответствии, в том числе, с Законом о контрактной̆ системе устанавливается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pPr>
        <w:pStyle w:val="11"/>
        <w:spacing w:lineRule="auto" w:line="240" w:before="0" w:after="0"/>
        <w:ind w:firstLine="709"/>
        <w:contextualSpacing/>
        <w:jc w:val="both"/>
        <w:rPr>
          <w:sz w:val="26"/>
          <w:szCs w:val="26"/>
        </w:rPr>
      </w:pPr>
      <w:r>
        <w:rPr>
          <w:sz w:val="26"/>
          <w:szCs w:val="26"/>
        </w:rPr>
        <w:t>Аппарат ультразвукового сканирования с кодом ОКПД2 26.60.12.132 входит в Приложение № 2 к Постановлению Правительства РФ от 23.12.2024 № 1875 (позиция 314).</w:t>
      </w:r>
    </w:p>
    <w:p>
      <w:pPr>
        <w:pStyle w:val="11"/>
        <w:spacing w:lineRule="auto" w:line="240" w:before="0" w:after="0"/>
        <w:ind w:firstLine="709"/>
        <w:contextualSpacing/>
        <w:jc w:val="both"/>
        <w:rPr>
          <w:sz w:val="26"/>
          <w:szCs w:val="26"/>
        </w:rPr>
      </w:pPr>
      <w:r>
        <w:rPr>
          <w:sz w:val="26"/>
          <w:szCs w:val="26"/>
        </w:rPr>
        <w:t>Таким образом, с учетом установления в извещении об осуществлении закупки ограничения закупок товаров, происходящих из иностранных государств, в соответствии с Постановлением Правительства РФ от 23.12.2024 № 1875, довод жалобы о неприменение Заказчиком Постановления №878 является необоснованными.</w:t>
      </w:r>
    </w:p>
    <w:p>
      <w:pPr>
        <w:pStyle w:val="11"/>
        <w:spacing w:lineRule="auto" w:line="240" w:before="0" w:after="0"/>
        <w:ind w:firstLine="709"/>
        <w:contextualSpacing/>
        <w:jc w:val="both"/>
        <w:rPr>
          <w:sz w:val="26"/>
          <w:szCs w:val="26"/>
        </w:rPr>
      </w:pPr>
      <w:r>
        <w:rPr>
          <w:sz w:val="26"/>
          <w:szCs w:val="26"/>
        </w:rPr>
      </w:r>
    </w:p>
    <w:p>
      <w:pPr>
        <w:pStyle w:val="parametervalue"/>
        <w:spacing w:lineRule="atLeast" w:line="20" w:beforeAutospacing="0" w:before="0" w:afterAutospacing="0" w:after="0"/>
        <w:ind w:firstLine="709"/>
        <w:contextualSpacing/>
        <w:jc w:val="both"/>
        <w:rPr>
          <w:sz w:val="26"/>
          <w:szCs w:val="26"/>
          <w:lang w:eastAsia="ar-SA"/>
        </w:rPr>
      </w:pPr>
      <w:r>
        <w:rPr>
          <w:sz w:val="26"/>
          <w:szCs w:val="26"/>
        </w:rPr>
        <w:t>3. Относительно доводов заявителя о неприменении Заказчиком Постановления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установлено следующее</w:t>
      </w:r>
      <w:r>
        <w:rPr>
          <w:sz w:val="26"/>
          <w:szCs w:val="26"/>
          <w:lang w:eastAsia="ar-SA"/>
        </w:rPr>
        <w:t>.</w:t>
      </w:r>
    </w:p>
    <w:p>
      <w:pPr>
        <w:pStyle w:val="parametervalue"/>
        <w:spacing w:lineRule="atLeast" w:line="20" w:beforeAutospacing="0" w:before="0" w:afterAutospacing="0" w:after="0"/>
        <w:ind w:firstLine="709"/>
        <w:contextualSpacing/>
        <w:jc w:val="both"/>
        <w:rPr>
          <w:sz w:val="26"/>
          <w:szCs w:val="26"/>
          <w:lang w:eastAsia="ar-SA"/>
        </w:rPr>
      </w:pPr>
      <w:r>
        <w:rPr>
          <w:sz w:val="26"/>
          <w:szCs w:val="26"/>
          <w:lang w:eastAsia="ar-SA"/>
        </w:rPr>
        <w:t xml:space="preserve">По мнению Заявителя, </w:t>
      </w:r>
      <w:bookmarkStart w:id="8" w:name="_GoBack"/>
      <w:bookmarkEnd w:id="8"/>
      <w:r>
        <w:rPr>
          <w:sz w:val="26"/>
          <w:szCs w:val="26"/>
          <w:lang w:eastAsia="ar-SA"/>
        </w:rPr>
        <w:t>Заказчик не сформулировал требования в отношении ПО, что нарушает ч.3 ст.7 Закона о контрактной системе. В данной закупке ПО не является предустановленным.</w:t>
      </w:r>
    </w:p>
    <w:p>
      <w:pPr>
        <w:pStyle w:val="11"/>
        <w:spacing w:lineRule="atLeast" w:line="20" w:before="0" w:after="0"/>
        <w:ind w:firstLine="709"/>
        <w:contextualSpacing/>
        <w:jc w:val="both"/>
        <w:rPr>
          <w:sz w:val="26"/>
          <w:szCs w:val="26"/>
        </w:rPr>
      </w:pPr>
      <w:r>
        <w:rPr>
          <w:sz w:val="26"/>
          <w:szCs w:val="26"/>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11"/>
        <w:spacing w:lineRule="atLeast" w:line="20" w:before="0" w:after="0"/>
        <w:ind w:firstLine="709"/>
        <w:contextualSpacing/>
        <w:jc w:val="both"/>
        <w:rPr>
          <w:sz w:val="26"/>
          <w:szCs w:val="26"/>
        </w:rPr>
      </w:pPr>
      <w:r>
        <w:rPr>
          <w:sz w:val="26"/>
          <w:szCs w:val="26"/>
        </w:rPr>
        <w:t>-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11"/>
        <w:spacing w:lineRule="atLeast" w:line="20" w:before="0" w:after="0"/>
        <w:ind w:firstLine="709"/>
        <w:contextualSpacing/>
        <w:jc w:val="both"/>
        <w:rPr>
          <w:sz w:val="26"/>
          <w:szCs w:val="26"/>
        </w:rPr>
      </w:pPr>
      <w:r>
        <w:rPr>
          <w:sz w:val="26"/>
          <w:szCs w:val="26"/>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соблюдении указанных запретов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11"/>
        <w:spacing w:lineRule="atLeast" w:line="20" w:before="0" w:after="0"/>
        <w:ind w:firstLine="709"/>
        <w:contextualSpacing/>
        <w:jc w:val="both"/>
        <w:rPr>
          <w:sz w:val="26"/>
          <w:szCs w:val="26"/>
        </w:rPr>
      </w:pPr>
      <w:r>
        <w:rPr>
          <w:sz w:val="26"/>
          <w:szCs w:val="26"/>
        </w:rPr>
        <w:t>Постановлением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pPr>
        <w:pStyle w:val="11"/>
        <w:tabs>
          <w:tab w:val="clear" w:pos="708"/>
          <w:tab w:val="left" w:pos="1047" w:leader="none"/>
        </w:tabs>
        <w:spacing w:lineRule="atLeast" w:line="20" w:before="0" w:after="0"/>
        <w:ind w:firstLine="709"/>
        <w:contextualSpacing/>
        <w:jc w:val="both"/>
        <w:rPr>
          <w:sz w:val="26"/>
          <w:szCs w:val="26"/>
        </w:rPr>
      </w:pPr>
      <w:bookmarkStart w:id="9" w:name="bookmark4"/>
      <w:r>
        <w:rPr>
          <w:sz w:val="26"/>
          <w:szCs w:val="26"/>
        </w:rPr>
        <w:t>а</w:t>
      </w:r>
      <w:bookmarkEnd w:id="9"/>
      <w:r>
        <w:rPr>
          <w:sz w:val="26"/>
          <w:szCs w:val="26"/>
        </w:rPr>
        <w:t>)</w:t>
        <w:tab/>
        <w:t>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pPr>
        <w:pStyle w:val="11"/>
        <w:tabs>
          <w:tab w:val="clear" w:pos="708"/>
          <w:tab w:val="left" w:pos="1177" w:leader="none"/>
        </w:tabs>
        <w:spacing w:lineRule="atLeast" w:line="20" w:before="0" w:after="0"/>
        <w:ind w:firstLine="709"/>
        <w:contextualSpacing/>
        <w:jc w:val="both"/>
        <w:rPr>
          <w:sz w:val="26"/>
          <w:szCs w:val="26"/>
        </w:rPr>
      </w:pPr>
      <w:bookmarkStart w:id="10" w:name="bookmark5"/>
      <w:r>
        <w:rPr>
          <w:sz w:val="26"/>
          <w:szCs w:val="26"/>
        </w:rPr>
        <w:t>б</w:t>
      </w:r>
      <w:bookmarkEnd w:id="10"/>
      <w:r>
        <w:rPr>
          <w:sz w:val="26"/>
          <w:szCs w:val="26"/>
        </w:rPr>
        <w:t>)</w:t>
        <w:tab/>
        <w:t>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pPr>
        <w:pStyle w:val="11"/>
        <w:spacing w:lineRule="atLeast" w:line="20" w:before="0" w:after="0"/>
        <w:ind w:firstLine="709"/>
        <w:contextualSpacing/>
        <w:jc w:val="both"/>
        <w:rPr>
          <w:sz w:val="26"/>
          <w:szCs w:val="26"/>
        </w:rPr>
      </w:pPr>
      <w:r>
        <w:rPr>
          <w:sz w:val="26"/>
          <w:szCs w:val="26"/>
        </w:rPr>
        <w:t>При этом согласно пункту 2.1 Постановления № 1236 для целей применения пункта 2 Постановления № 1236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11"/>
        <w:spacing w:lineRule="atLeast" w:line="20" w:before="0" w:after="0"/>
        <w:ind w:firstLine="709"/>
        <w:contextualSpacing/>
        <w:jc w:val="both"/>
        <w:rPr>
          <w:sz w:val="26"/>
          <w:szCs w:val="26"/>
        </w:rPr>
      </w:pPr>
      <w:r>
        <w:rPr>
          <w:sz w:val="26"/>
          <w:szCs w:val="26"/>
        </w:rPr>
        <w:t>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w:t>
        <w:softHyphen/>
        <w:t>технологической и программно-аппаратной инфраструктуры, обеспечивающей сбор, обработку и хранение данных (услуги облачных вычислений);</w:t>
      </w:r>
    </w:p>
    <w:p>
      <w:pPr>
        <w:pStyle w:val="11"/>
        <w:tabs>
          <w:tab w:val="clear" w:pos="708"/>
          <w:tab w:val="left" w:pos="1267" w:leader="none"/>
        </w:tabs>
        <w:spacing w:lineRule="atLeast" w:line="20" w:before="0" w:after="0"/>
        <w:ind w:firstLine="709"/>
        <w:contextualSpacing/>
        <w:jc w:val="both"/>
        <w:rPr>
          <w:sz w:val="26"/>
          <w:szCs w:val="26"/>
        </w:rPr>
      </w:pPr>
      <w:bookmarkStart w:id="11" w:name="bookmark6"/>
      <w:r>
        <w:rPr>
          <w:sz w:val="26"/>
          <w:szCs w:val="26"/>
        </w:rPr>
        <w:t>б</w:t>
      </w:r>
      <w:bookmarkEnd w:id="11"/>
      <w:r>
        <w:rPr>
          <w:sz w:val="26"/>
          <w:szCs w:val="26"/>
        </w:rPr>
        <w:t>)</w:t>
        <w:tab/>
        <w:t>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11"/>
        <w:tabs>
          <w:tab w:val="clear" w:pos="708"/>
          <w:tab w:val="left" w:pos="1267" w:leader="none"/>
        </w:tabs>
        <w:spacing w:lineRule="atLeast" w:line="20" w:before="0" w:after="0"/>
        <w:ind w:firstLine="709"/>
        <w:contextualSpacing/>
        <w:jc w:val="both"/>
        <w:rPr>
          <w:sz w:val="26"/>
          <w:szCs w:val="26"/>
        </w:rPr>
      </w:pPr>
      <w:bookmarkStart w:id="12" w:name="bookmark7"/>
      <w:r>
        <w:rPr>
          <w:sz w:val="26"/>
          <w:szCs w:val="26"/>
        </w:rPr>
        <w:t>в</w:t>
      </w:r>
      <w:bookmarkEnd w:id="12"/>
      <w:r>
        <w:rPr>
          <w:sz w:val="26"/>
          <w:szCs w:val="26"/>
        </w:rPr>
        <w:t>)</w:t>
        <w:tab/>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11"/>
        <w:tabs>
          <w:tab w:val="clear" w:pos="708"/>
          <w:tab w:val="left" w:pos="1071" w:leader="none"/>
        </w:tabs>
        <w:spacing w:lineRule="atLeast" w:line="20" w:before="0" w:after="0"/>
        <w:ind w:firstLine="709"/>
        <w:contextualSpacing/>
        <w:jc w:val="both"/>
        <w:rPr>
          <w:sz w:val="26"/>
          <w:szCs w:val="26"/>
        </w:rPr>
      </w:pPr>
      <w:bookmarkStart w:id="13" w:name="bookmark8"/>
      <w:r>
        <w:rPr>
          <w:sz w:val="26"/>
          <w:szCs w:val="26"/>
        </w:rPr>
        <w:t>г</w:t>
      </w:r>
      <w:bookmarkEnd w:id="13"/>
      <w:r>
        <w:rPr>
          <w:sz w:val="26"/>
          <w:szCs w:val="26"/>
        </w:rPr>
        <w:t>)</w:t>
        <w:tab/>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11"/>
        <w:spacing w:lineRule="atLeast" w:line="20" w:before="0" w:after="0"/>
        <w:ind w:firstLine="709"/>
        <w:contextualSpacing/>
        <w:jc w:val="both"/>
        <w:rPr>
          <w:sz w:val="26"/>
          <w:szCs w:val="26"/>
        </w:rPr>
      </w:pPr>
      <w:r>
        <w:rPr>
          <w:sz w:val="26"/>
          <w:szCs w:val="26"/>
        </w:rPr>
        <w:t>Предметом рассматриваемой закупки является оказание услуг по поставке системы ультразвуковой визуализации универсальной с питанием от сети, которая включает в себя специализированное программное обеспечение, являющиеся неотъемлемой частью указанного медицинского изделия и не может поставляться отдельно, с другой моделью и/или другой маркой медицинского оборудования, или на аналогичное медицинское оборудование иного производителя.</w:t>
      </w:r>
    </w:p>
    <w:p>
      <w:pPr>
        <w:pStyle w:val="11"/>
        <w:spacing w:lineRule="atLeast" w:line="20" w:before="0" w:after="0"/>
        <w:ind w:firstLine="709"/>
        <w:contextualSpacing/>
        <w:jc w:val="both"/>
        <w:rPr>
          <w:sz w:val="26"/>
          <w:szCs w:val="26"/>
        </w:rPr>
      </w:pPr>
      <w:r>
        <w:rPr>
          <w:sz w:val="26"/>
          <w:szCs w:val="26"/>
        </w:rPr>
        <w:t>Из положений извещения о закупке усматривается обязанность поставщика поставить заказчику систему с предустановленным программным обеспечением DICOM.</w:t>
      </w:r>
    </w:p>
    <w:p>
      <w:pPr>
        <w:pStyle w:val="11"/>
        <w:spacing w:lineRule="atLeast" w:line="20" w:before="0" w:after="0"/>
        <w:ind w:firstLine="709"/>
        <w:contextualSpacing/>
        <w:jc w:val="both"/>
        <w:rPr>
          <w:sz w:val="26"/>
          <w:szCs w:val="26"/>
        </w:rPr>
      </w:pPr>
      <w:r>
        <w:rPr>
          <w:sz w:val="26"/>
          <w:szCs w:val="26"/>
        </w:rPr>
        <w:t>В связи с тем, что программное обеспечение является предустановленным и является неотъемлемой частью комплекса, которые предполагают единое совместное функционирование, положения Постановления Правительства №1236 не применяются и в извещении или документации о закупке не предусмотрена необходимость установки программного обеспечения и передачи прав на него вследствие выполнения контрактных обязательств.</w:t>
      </w:r>
    </w:p>
    <w:p>
      <w:pPr>
        <w:pStyle w:val="11"/>
        <w:spacing w:lineRule="atLeast" w:line="20" w:before="0" w:after="0"/>
        <w:ind w:firstLine="709"/>
        <w:contextualSpacing/>
        <w:jc w:val="both"/>
        <w:rPr>
          <w:sz w:val="26"/>
          <w:szCs w:val="26"/>
        </w:rPr>
      </w:pPr>
      <w:r>
        <w:rPr>
          <w:sz w:val="26"/>
          <w:szCs w:val="26"/>
        </w:rPr>
        <w:t>Таким образом, учитывая пункт 2.1 Постановления № 1236, Комиссия приходит к выводу, что объект закупки не подпадает под действие Постановления Правительства РФ от 16.11.2015 № 1236, в связи с чем доводы Заявителя признаны необоснованными.</w:t>
      </w:r>
    </w:p>
    <w:p>
      <w:pPr>
        <w:pStyle w:val="parametervalue"/>
        <w:spacing w:before="280" w:after="0"/>
        <w:ind w:firstLine="709"/>
        <w:contextualSpacing/>
        <w:jc w:val="both"/>
        <w:rPr>
          <w:sz w:val="26"/>
          <w:szCs w:val="26"/>
        </w:rPr>
      </w:pPr>
      <w:r>
        <w:rPr>
          <w:sz w:val="26"/>
          <w:szCs w:val="26"/>
        </w:rPr>
        <w:t>4. Относительно довода заявителя о нарушении в извещении о закупке и в проекте контракта (не указаны контактные данные сотрудников конечного получателя и функционального заказчика ЛПУ, а также срок действия и окончания контракта), комиссия установила следующее.</w:t>
      </w:r>
    </w:p>
    <w:p>
      <w:pPr>
        <w:pStyle w:val="parametervalue"/>
        <w:spacing w:before="280" w:after="0"/>
        <w:ind w:firstLine="709"/>
        <w:contextualSpacing/>
        <w:jc w:val="both"/>
        <w:rPr>
          <w:sz w:val="26"/>
          <w:szCs w:val="26"/>
        </w:rPr>
      </w:pPr>
      <w:r>
        <w:rPr>
          <w:sz w:val="26"/>
          <w:szCs w:val="26"/>
        </w:rPr>
        <w:t>Частью 1 статьи 42 Закона о контрактной системе установлен перечень информации, необходимый для формирования извещения об осуществлении закупки.</w:t>
      </w:r>
    </w:p>
    <w:p>
      <w:pPr>
        <w:pStyle w:val="parametervalue"/>
        <w:spacing w:before="280" w:after="0"/>
        <w:ind w:firstLine="709"/>
        <w:contextualSpacing/>
        <w:jc w:val="both"/>
        <w:rPr>
          <w:sz w:val="26"/>
          <w:szCs w:val="26"/>
        </w:rPr>
      </w:pPr>
      <w:r>
        <w:rPr>
          <w:sz w:val="26"/>
          <w:szCs w:val="26"/>
        </w:rPr>
        <w:t>Вместе с тем, статьей 42 Закона о контрактной системе не предусмотрена информация о контактных данных сотрудников конечного получателя и функционального заказчика лечебно-профилактического учреждения.</w:t>
      </w:r>
    </w:p>
    <w:p>
      <w:pPr>
        <w:pStyle w:val="parametervalue"/>
        <w:spacing w:before="280" w:after="0"/>
        <w:ind w:firstLine="709"/>
        <w:contextualSpacing/>
        <w:jc w:val="both"/>
        <w:rPr>
          <w:sz w:val="26"/>
          <w:szCs w:val="26"/>
        </w:rPr>
      </w:pPr>
      <w:r>
        <w:rPr>
          <w:sz w:val="26"/>
          <w:szCs w:val="26"/>
        </w:rPr>
        <w:t>Кроме того, в Информационной карте (приложение к извещению) указана контактная информация Заказчика, информация о месте поставки товара, сроке исполнения контракта.</w:t>
      </w:r>
    </w:p>
    <w:p>
      <w:pPr>
        <w:pStyle w:val="parametervalue"/>
        <w:spacing w:before="280" w:after="0"/>
        <w:ind w:firstLine="709"/>
        <w:contextualSpacing/>
        <w:jc w:val="both"/>
        <w:rPr>
          <w:sz w:val="26"/>
          <w:szCs w:val="26"/>
        </w:rPr>
      </w:pPr>
      <w:r>
        <w:rPr>
          <w:sz w:val="26"/>
          <w:szCs w:val="26"/>
        </w:rPr>
        <w:t>Также пунктом 7.2 проекта контракта (приложение к Извещению) определено, что Контракт вступает в силу с момента подписания его Сторонами и действует до 31.12.2025 года, а в части расчетов - до полного их завершения, если такое условие не будет противоречить положениям действующего законодательства.</w:t>
      </w:r>
    </w:p>
    <w:p>
      <w:pPr>
        <w:pStyle w:val="parametervalue"/>
        <w:spacing w:before="280" w:after="0"/>
        <w:ind w:firstLine="709"/>
        <w:contextualSpacing/>
        <w:jc w:val="both"/>
        <w:rPr>
          <w:sz w:val="26"/>
          <w:szCs w:val="26"/>
        </w:rPr>
      </w:pPr>
      <w:r>
        <w:rPr>
          <w:sz w:val="26"/>
          <w:szCs w:val="26"/>
        </w:rPr>
        <w:t>Таким образом, Комиссия приходит к выводу, что заказчиком не нарушены нормы действующего законодательства, в связи с чем довод Заявителя признается необоснованным.</w:t>
      </w:r>
    </w:p>
    <w:p>
      <w:pPr>
        <w:pStyle w:val="parametervalue"/>
        <w:spacing w:before="280" w:after="0"/>
        <w:ind w:firstLine="709"/>
        <w:contextualSpacing/>
        <w:jc w:val="both"/>
        <w:rPr>
          <w:sz w:val="26"/>
          <w:szCs w:val="26"/>
        </w:rPr>
      </w:pPr>
      <w:r>
        <w:rPr>
          <w:sz w:val="26"/>
          <w:szCs w:val="26"/>
        </w:rPr>
      </w:r>
    </w:p>
    <w:p>
      <w:pPr>
        <w:pStyle w:val="parametervalue"/>
        <w:spacing w:before="280" w:after="0"/>
        <w:ind w:firstLine="709"/>
        <w:contextualSpacing/>
        <w:jc w:val="both"/>
        <w:rPr>
          <w:sz w:val="26"/>
          <w:szCs w:val="26"/>
        </w:rPr>
      </w:pPr>
      <w:r>
        <w:rPr>
          <w:sz w:val="26"/>
          <w:szCs w:val="26"/>
        </w:rPr>
      </w:r>
    </w:p>
    <w:p>
      <w:pPr>
        <w:pStyle w:val="parametervalue"/>
        <w:spacing w:before="280" w:after="0"/>
        <w:ind w:firstLine="709"/>
        <w:contextualSpacing/>
        <w:jc w:val="both"/>
        <w:rPr>
          <w:sz w:val="26"/>
          <w:szCs w:val="26"/>
        </w:rPr>
      </w:pPr>
      <w:r>
        <w:rPr>
          <w:sz w:val="26"/>
          <w:szCs w:val="26"/>
        </w:rPr>
        <w:t>5. Заявитель указывает, что в извещении нет технического задания в Файле, в четком соответствии со структурным вариантом в ЕИС, нарушены правила использования каталога товаров, работ, услуг для обеспечения государственных и муниципальных нужд. Нарушены правила использования каталога товаров, работ, услуг для обеспечения государственных и муниципальных нужд.</w:t>
      </w:r>
    </w:p>
    <w:p>
      <w:pPr>
        <w:pStyle w:val="parametervalue"/>
        <w:spacing w:before="280" w:after="0"/>
        <w:ind w:firstLine="709"/>
        <w:contextualSpacing/>
        <w:jc w:val="both"/>
        <w:rPr>
          <w:sz w:val="26"/>
          <w:szCs w:val="26"/>
        </w:rPr>
      </w:pPr>
      <w:r>
        <w:rPr>
          <w:sz w:val="26"/>
          <w:szCs w:val="26"/>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parametervalue"/>
        <w:spacing w:before="280" w:after="0"/>
        <w:ind w:firstLine="709"/>
        <w:contextualSpacing/>
        <w:jc w:val="both"/>
        <w:rPr>
          <w:sz w:val="26"/>
          <w:szCs w:val="26"/>
        </w:rPr>
      </w:pPr>
      <w:r>
        <w:rPr>
          <w:sz w:val="26"/>
          <w:szCs w:val="26"/>
        </w:rPr>
        <w:t>Довод признается необоснованным.</w:t>
      </w:r>
    </w:p>
    <w:p>
      <w:pPr>
        <w:pStyle w:val="parametervalue"/>
        <w:spacing w:before="280" w:after="0"/>
        <w:ind w:firstLine="709"/>
        <w:contextualSpacing/>
        <w:jc w:val="both"/>
        <w:rPr>
          <w:sz w:val="26"/>
          <w:szCs w:val="26"/>
        </w:rPr>
      </w:pPr>
      <w:r>
        <w:rPr>
          <w:sz w:val="26"/>
          <w:szCs w:val="26"/>
        </w:rPr>
      </w:r>
    </w:p>
    <w:p>
      <w:pPr>
        <w:pStyle w:val="parametervalue"/>
        <w:spacing w:beforeAutospacing="0" w:before="0" w:afterAutospacing="0" w:after="0"/>
        <w:ind w:firstLine="709"/>
        <w:contextualSpacing/>
        <w:jc w:val="both"/>
        <w:rPr>
          <w:sz w:val="26"/>
          <w:szCs w:val="26"/>
          <w:lang w:eastAsia="ar-SA"/>
        </w:rPr>
      </w:pPr>
      <w:r>
        <w:rPr>
          <w:sz w:val="26"/>
          <w:szCs w:val="26"/>
          <w:lang w:eastAsia="ar-SA"/>
        </w:rPr>
        <w:t xml:space="preserve">Также, согласно доводу жалобы Заказчиком не исполнены требования Постановления Правительства РФ от 3 декабря 2020 г. № 2014 «О минимальной обязательной доле закупок российских товаров и ее достижении заказчиком» (далее — постановление №2014), в части закупки аппаратов ультразвукового исследования Российского производства не менее 80%. </w:t>
      </w:r>
    </w:p>
    <w:p>
      <w:pPr>
        <w:pStyle w:val="parametervalue"/>
        <w:spacing w:beforeAutospacing="0" w:before="0" w:afterAutospacing="0" w:after="0"/>
        <w:ind w:firstLine="709"/>
        <w:contextualSpacing/>
        <w:jc w:val="both"/>
        <w:rPr>
          <w:sz w:val="26"/>
          <w:szCs w:val="26"/>
          <w:lang w:eastAsia="ar-SA"/>
        </w:rPr>
      </w:pPr>
      <w:r>
        <w:rPr>
          <w:sz w:val="26"/>
          <w:szCs w:val="26"/>
          <w:lang w:eastAsia="ar-SA"/>
        </w:rPr>
        <w:t xml:space="preserve">Вместе с тем Комиссия Управления отмечает, что согласно п.5 постановления №2014 федеральным органом исполнительной власти, уполномоченным на осуществление оценки достижения заказчиком минимальной доли закупок является Министерство промышленности и торговли Российской Федерации. </w:t>
      </w:r>
    </w:p>
    <w:p>
      <w:pPr>
        <w:pStyle w:val="parametervalue"/>
        <w:spacing w:beforeAutospacing="0" w:before="0" w:afterAutospacing="0" w:after="0"/>
        <w:ind w:firstLine="709"/>
        <w:contextualSpacing/>
        <w:jc w:val="both"/>
        <w:rPr>
          <w:sz w:val="26"/>
          <w:szCs w:val="26"/>
          <w:lang w:eastAsia="ar-SA"/>
        </w:rPr>
      </w:pPr>
      <w:r>
        <w:rPr>
          <w:sz w:val="26"/>
          <w:szCs w:val="26"/>
          <w:lang w:eastAsia="ar-SA"/>
        </w:rPr>
        <w:t>Таким образом, учитывая, что в рамках рассмотрения данной жалобы Комиссия Управления по контролю в сфере закупок не обладает полномочиями по рассмотрению жалоб и обращений в порядке, предусмотренном постановлением №2014, рассмотрение доводов жалобы в отношении нарушения Заказчиком указанного постановления не может быть осуществлено.</w:t>
      </w:r>
    </w:p>
    <w:p>
      <w:pPr>
        <w:pStyle w:val="parametervalue"/>
        <w:spacing w:beforeAutospacing="0" w:before="0" w:afterAutospacing="0" w:after="0"/>
        <w:ind w:firstLine="709"/>
        <w:contextualSpacing/>
        <w:jc w:val="both"/>
        <w:rPr>
          <w:sz w:val="26"/>
          <w:szCs w:val="26"/>
          <w:lang w:eastAsia="ar-SA"/>
        </w:rPr>
      </w:pPr>
      <w:r>
        <w:rPr>
          <w:sz w:val="26"/>
          <w:szCs w:val="26"/>
          <w:lang w:eastAsia="ar-SA"/>
        </w:rPr>
      </w:r>
    </w:p>
    <w:p>
      <w:pPr>
        <w:pStyle w:val="parametervalue"/>
        <w:spacing w:beforeAutospacing="0" w:before="0" w:afterAutospacing="0" w:after="0"/>
        <w:ind w:firstLine="709"/>
        <w:contextualSpacing/>
        <w:jc w:val="both"/>
        <w:rPr>
          <w:sz w:val="26"/>
          <w:szCs w:val="26"/>
          <w:lang w:eastAsia="ar-SA"/>
        </w:rPr>
      </w:pPr>
      <w:r>
        <w:rPr>
          <w:sz w:val="26"/>
          <w:szCs w:val="26"/>
          <w:lang w:eastAsia="ar-SA"/>
        </w:rPr>
        <w:t>Руководствуясь частью 8 статьи 106 системе, Комиссия Самарского УФАС России,</w:t>
      </w:r>
    </w:p>
    <w:p>
      <w:pPr>
        <w:pStyle w:val="ConsPlusNormal1"/>
        <w:ind w:firstLine="709"/>
        <w:jc w:val="both"/>
        <w:rPr>
          <w:rFonts w:ascii="Times New Roman" w:hAnsi="Times New Roman" w:eastAsia="Times New Roman" w:cs="Times New Roman"/>
          <w:sz w:val="26"/>
          <w:szCs w:val="26"/>
        </w:rPr>
      </w:pPr>
      <w:r>
        <w:rPr>
          <w:rFonts w:eastAsia="Times New Roman" w:cs="Times New Roman" w:ascii="Times New Roman" w:hAnsi="Times New Roman"/>
          <w:sz w:val="26"/>
          <w:szCs w:val="26"/>
        </w:rPr>
      </w:r>
    </w:p>
    <w:p>
      <w:pPr>
        <w:pStyle w:val="ConsPlusNormal1"/>
        <w:ind w:firstLine="709"/>
        <w:jc w:val="center"/>
        <w:rPr>
          <w:rFonts w:ascii="Times New Roman" w:hAnsi="Times New Roman" w:eastAsia="Times New Roman" w:cs="Times New Roman"/>
          <w:sz w:val="26"/>
          <w:szCs w:val="26"/>
        </w:rPr>
      </w:pPr>
      <w:r>
        <w:rPr>
          <w:rFonts w:eastAsia="Times New Roman" w:cs="Times New Roman" w:ascii="Times New Roman" w:hAnsi="Times New Roman"/>
          <w:sz w:val="26"/>
          <w:szCs w:val="26"/>
        </w:rPr>
        <w:t>Р Е Ш И Л А:</w:t>
      </w:r>
    </w:p>
    <w:p>
      <w:pPr>
        <w:pStyle w:val="parametervalue"/>
        <w:spacing w:beforeAutospacing="0" w:before="0" w:afterAutospacing="0" w:after="0"/>
        <w:ind w:firstLine="709"/>
        <w:jc w:val="both"/>
        <w:rPr>
          <w:sz w:val="26"/>
          <w:szCs w:val="26"/>
          <w:lang w:eastAsia="ar-SA"/>
        </w:rPr>
      </w:pPr>
      <w:r>
        <w:rPr>
          <w:sz w:val="26"/>
          <w:szCs w:val="26"/>
          <w:lang w:eastAsia="ar-SA"/>
        </w:rPr>
      </w:r>
    </w:p>
    <w:p>
      <w:pPr>
        <w:pStyle w:val="Normal"/>
        <w:widowControl w:val="false"/>
        <w:tabs>
          <w:tab w:val="clear" w:pos="708"/>
          <w:tab w:val="left" w:pos="5670" w:leader="none"/>
          <w:tab w:val="left" w:pos="6369" w:leader="none"/>
        </w:tabs>
        <w:suppressAutoHyphens w:val="true"/>
        <w:spacing w:lineRule="auto" w:line="240" w:before="0" w:after="0"/>
        <w:jc w:val="both"/>
        <w:rPr>
          <w:rFonts w:ascii="Times New Roman" w:hAnsi="Times New Roman" w:eastAsia="Arial" w:cs="Times New Roman"/>
          <w:sz w:val="26"/>
          <w:szCs w:val="26"/>
          <w:lang w:eastAsia="ar-SA"/>
        </w:rPr>
      </w:pPr>
      <w:r>
        <w:rPr>
          <w:rFonts w:eastAsia="Arial" w:cs="Times New Roman" w:ascii="Times New Roman" w:hAnsi="Times New Roman"/>
          <w:sz w:val="26"/>
          <w:szCs w:val="26"/>
          <w:lang w:eastAsia="ar-SA"/>
        </w:rPr>
        <w:t xml:space="preserve">           </w:t>
      </w:r>
      <w:r>
        <w:rPr>
          <w:rFonts w:eastAsia="Arial" w:cs="Times New Roman" w:ascii="Times New Roman" w:hAnsi="Times New Roman"/>
          <w:sz w:val="26"/>
          <w:szCs w:val="26"/>
          <w:lang w:eastAsia="ar-SA"/>
        </w:rPr>
        <w:t>1. Признать жалобу ИП Кравченко А.В.  необоснованной.</w:t>
      </w:r>
    </w:p>
    <w:p>
      <w:pPr>
        <w:pStyle w:val="Normal"/>
        <w:spacing w:before="0" w:after="0"/>
        <w:ind w:firstLine="709"/>
        <w:contextualSpacing/>
        <w:jc w:val="both"/>
        <w:rPr>
          <w:rFonts w:ascii="Times New Roman" w:hAnsi="Times New Roman" w:eastAsia="Arial" w:cs="Times New Roman"/>
          <w:sz w:val="26"/>
          <w:szCs w:val="26"/>
        </w:rPr>
      </w:pPr>
      <w:r>
        <w:rPr>
          <w:rFonts w:eastAsia="Arial" w:cs="Times New Roman" w:ascii="Times New Roman" w:hAnsi="Times New Roman"/>
          <w:sz w:val="26"/>
          <w:szCs w:val="26"/>
          <w:lang w:eastAsia="ar-SA"/>
        </w:rPr>
        <w:t xml:space="preserve">2.  </w:t>
      </w:r>
      <w:r>
        <w:rPr>
          <w:rFonts w:eastAsia="Arial" w:cs="Times New Roman" w:ascii="Times New Roman" w:hAnsi="Times New Roman"/>
          <w:sz w:val="26"/>
          <w:szCs w:val="26"/>
        </w:rPr>
        <w:t>Направить жалобу ИП Кравченко А.В. в части довода об обжаловании обоснования начальной (максимальной) цены контракта в адрес органа внутреннего финансового контроля для рассмотрения по подведомственности.</w:t>
      </w:r>
    </w:p>
    <w:p>
      <w:pPr>
        <w:pStyle w:val="Normal"/>
        <w:spacing w:before="0" w:after="0"/>
        <w:ind w:firstLine="709"/>
        <w:contextualSpacing/>
        <w:jc w:val="both"/>
        <w:rPr>
          <w:rFonts w:ascii="Times New Roman" w:hAnsi="Times New Roman" w:eastAsia="Arial" w:cs="Times New Roman"/>
          <w:sz w:val="26"/>
          <w:szCs w:val="26"/>
        </w:rPr>
      </w:pPr>
      <w:r>
        <w:rPr>
          <w:rFonts w:eastAsia="Arial" w:cs="Times New Roman" w:ascii="Times New Roman" w:hAnsi="Times New Roman"/>
          <w:sz w:val="26"/>
          <w:szCs w:val="26"/>
        </w:rPr>
      </w:r>
    </w:p>
    <w:p>
      <w:pPr>
        <w:pStyle w:val="ConsPlusNormal1"/>
        <w:ind w:firstLine="709"/>
        <w:jc w:val="both"/>
        <w:rPr>
          <w:rFonts w:ascii="Times New Roman" w:hAnsi="Times New Roman" w:cs="Times New Roman"/>
          <w:sz w:val="26"/>
          <w:szCs w:val="26"/>
        </w:rPr>
      </w:pPr>
      <w:r>
        <w:rPr>
          <w:rFonts w:cs="Times New Roman" w:ascii="Times New Roman" w:hAnsi="Times New Roman"/>
          <w:sz w:val="26"/>
          <w:szCs w:val="26"/>
        </w:rPr>
        <w:t>Настоящее решение может быть обжаловано в судебном порядке в течение трех месяцев с даты его принятия.</w:t>
      </w:r>
    </w:p>
    <w:p>
      <w:pPr>
        <w:pStyle w:val="ConsPlusNormal1"/>
        <w:ind w:hanging="0"/>
        <w:jc w:val="both"/>
        <w:rPr>
          <w:rFonts w:ascii="Times New Roman" w:hAnsi="Times New Roman" w:cs="Times New Roman"/>
          <w:sz w:val="26"/>
          <w:szCs w:val="26"/>
        </w:rPr>
      </w:pPr>
      <w:r>
        <w:rPr>
          <w:rFonts w:cs="Times New Roman" w:ascii="Times New Roman" w:hAnsi="Times New Roman"/>
          <w:sz w:val="26"/>
          <w:szCs w:val="26"/>
        </w:rPr>
      </w:r>
    </w:p>
    <w:p>
      <w:pPr>
        <w:pStyle w:val="ConsPlusNormal1"/>
        <w:ind w:hanging="0"/>
        <w:jc w:val="both"/>
        <w:rPr>
          <w:rFonts w:ascii="Times New Roman" w:hAnsi="Times New Roman" w:cs="Times New Roman"/>
          <w:sz w:val="26"/>
          <w:szCs w:val="26"/>
        </w:rPr>
      </w:pPr>
      <w:r>
        <w:rPr>
          <w:rFonts w:eastAsia="Times New Roman" w:cs="Times New Roman" w:ascii="Times New Roman" w:hAnsi="Times New Roman"/>
          <w:sz w:val="26"/>
          <w:szCs w:val="26"/>
          <w:lang w:eastAsia="ru-RU"/>
        </w:rPr>
      </w:r>
    </w:p>
    <w:sectPr>
      <w:headerReference w:type="even" r:id="rId2"/>
      <w:headerReference w:type="default" r:id="rId3"/>
      <w:headerReference w:type="first" r:id="rId4"/>
      <w:type w:val="nextPage"/>
      <w:pgSz w:w="11906" w:h="16838"/>
      <w:pgMar w:left="1134" w:right="567" w:gutter="0" w:header="709" w:top="1134" w:footer="0" w:bottom="567"/>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libri Light">
    <w:charset w:val="cc"/>
    <w:family w:val="roman"/>
    <w:pitch w:val="variable"/>
  </w:font>
  <w:font w:name="Courier New">
    <w:charset w:val="cc"/>
    <w:family w:val="roman"/>
    <w:pitch w:val="variable"/>
  </w:font>
  <w:font w:name="Arial">
    <w:charset w:val="cc"/>
    <w:family w:val="swiss"/>
    <w:pitch w:val="variable"/>
  </w:font>
  <w:font w:name="Segoe UI">
    <w:charset w:val="cc"/>
    <w:family w:val="swiss"/>
    <w:pitch w:val="variable"/>
  </w:font>
  <w:font w:name="Liberation Sans">
    <w:altName w:val="Arial"/>
    <w:charset w:val="cc"/>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961992958"/>
    </w:sdtPr>
    <w:sdtContent>
      <w:p>
        <w:pPr>
          <w:pStyle w:val="Header"/>
          <w:jc w:val="center"/>
          <w:rPr/>
        </w:pPr>
        <w:r>
          <w:rPr/>
          <w:fldChar w:fldCharType="begin"/>
        </w:r>
        <w:r>
          <w:rPr/>
          <w:instrText xml:space="preserve"> PAGE </w:instrText>
        </w:r>
        <w:r>
          <w:rPr/>
          <w:fldChar w:fldCharType="separate"/>
        </w:r>
        <w:r>
          <w:rPr/>
          <w:t>9</w:t>
        </w:r>
        <w:r>
          <w:rPr/>
          <w:fldChar w:fldCharType="end"/>
        </w:r>
      </w:p>
    </w:sdtContent>
  </w:sdt>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rFonts w:ascii="Calibri" w:hAnsi="Calibri" w:eastAsia="Times New Roman" w:cs="Times New Roman"/>
      </w:rPr>
    </w:lvl>
    <w:lvl w:ilvl="1">
      <w:start w:val="1"/>
      <w:numFmt w:val="none"/>
      <w:suff w:val="nothing"/>
      <w:lvlText w:val=""/>
      <w:lvlJc w:val="left"/>
      <w:pPr>
        <w:tabs>
          <w:tab w:val="num" w:pos="0"/>
        </w:tabs>
        <w:ind w:left="0" w:hanging="0"/>
      </w:pPr>
      <w:rPr>
        <w:rFonts w:cs="Courier New"/>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1">
    <w:name w:val="heading 1"/>
    <w:basedOn w:val="Normal"/>
    <w:next w:val="Normal"/>
    <w:link w:val="1"/>
    <w:qFormat/>
    <w:rsid w:val="00c73ac3"/>
    <w:pPr>
      <w:keepNext w:val="true"/>
      <w:numPr>
        <w:ilvl w:val="0"/>
        <w:numId w:val="1"/>
      </w:numPr>
      <w:tabs>
        <w:tab w:val="clear" w:pos="708"/>
        <w:tab w:val="left" w:pos="0" w:leader="none"/>
      </w:tabs>
      <w:suppressAutoHyphens w:val="true"/>
      <w:spacing w:lineRule="auto" w:line="240" w:before="0" w:after="0"/>
      <w:ind w:left="5040"/>
      <w:outlineLvl w:val="0"/>
    </w:pPr>
    <w:rPr>
      <w:rFonts w:ascii="Times New Roman" w:hAnsi="Times New Roman" w:eastAsia="Times New Roman" w:cs="Times New Roman"/>
      <w:sz w:val="28"/>
      <w:szCs w:val="24"/>
      <w:lang w:eastAsia="ar-SA"/>
    </w:rPr>
  </w:style>
  <w:style w:type="paragraph" w:styleId="Heading2">
    <w:name w:val="heading 2"/>
    <w:basedOn w:val="Normal"/>
    <w:next w:val="BodyText"/>
    <w:link w:val="2"/>
    <w:semiHidden/>
    <w:unhideWhenUsed/>
    <w:qFormat/>
    <w:rsid w:val="00c73ac3"/>
    <w:pPr>
      <w:keepNext w:val="true"/>
      <w:numPr>
        <w:ilvl w:val="1"/>
        <w:numId w:val="1"/>
      </w:numPr>
      <w:suppressAutoHyphens w:val="true"/>
      <w:spacing w:lineRule="auto" w:line="240" w:before="240" w:after="120"/>
      <w:outlineLvl w:val="1"/>
    </w:pPr>
    <w:rPr>
      <w:rFonts w:ascii="Times New Roman" w:hAnsi="Times New Roman" w:eastAsia="Lucida Sans Unicode" w:cs="Tahoma"/>
      <w:b/>
      <w:bCs/>
      <w:i/>
      <w:iCs/>
      <w:sz w:val="28"/>
      <w:szCs w:val="28"/>
      <w:lang w:val="en-US" w:eastAsia="ar-SA"/>
    </w:rPr>
  </w:style>
  <w:style w:type="paragraph" w:styleId="Heading3">
    <w:name w:val="heading 3"/>
    <w:basedOn w:val="Normal"/>
    <w:next w:val="Normal"/>
    <w:link w:val="3"/>
    <w:uiPriority w:val="9"/>
    <w:semiHidden/>
    <w:unhideWhenUsed/>
    <w:qFormat/>
    <w:rsid w:val="009f566a"/>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4D78"/>
      <w:sz w:val="24"/>
      <w:szCs w:val="24"/>
    </w:rPr>
  </w:style>
  <w:style w:type="character" w:styleId="DefaultParagraphFont" w:default="1">
    <w:name w:val="Default Paragraph Font"/>
    <w:uiPriority w:val="1"/>
    <w:semiHidden/>
    <w:unhideWhenUsed/>
    <w:qFormat/>
    <w:rPr/>
  </w:style>
  <w:style w:type="character" w:styleId="HTML" w:customStyle="1">
    <w:name w:val="Стандартный HTML Знак"/>
    <w:basedOn w:val="DefaultParagraphFont"/>
    <w:link w:val="HTMLPreformatted"/>
    <w:uiPriority w:val="99"/>
    <w:semiHidden/>
    <w:qFormat/>
    <w:rsid w:val="00c73ac3"/>
    <w:rPr>
      <w:rFonts w:ascii="Courier New" w:hAnsi="Courier New" w:eastAsia="Times New Roman" w:cs="Courier New"/>
      <w:sz w:val="20"/>
      <w:szCs w:val="20"/>
      <w:lang w:eastAsia="ru-RU"/>
    </w:rPr>
  </w:style>
  <w:style w:type="character" w:styleId="1" w:customStyle="1">
    <w:name w:val="Заголовок 1 Знак"/>
    <w:basedOn w:val="DefaultParagraphFont"/>
    <w:qFormat/>
    <w:rsid w:val="00c73ac3"/>
    <w:rPr>
      <w:rFonts w:ascii="Times New Roman" w:hAnsi="Times New Roman" w:eastAsia="Times New Roman" w:cs="Times New Roman"/>
      <w:sz w:val="28"/>
      <w:szCs w:val="24"/>
      <w:lang w:eastAsia="ar-SA"/>
    </w:rPr>
  </w:style>
  <w:style w:type="character" w:styleId="2" w:customStyle="1">
    <w:name w:val="Заголовок 2 Знак"/>
    <w:basedOn w:val="DefaultParagraphFont"/>
    <w:semiHidden/>
    <w:qFormat/>
    <w:rsid w:val="00c73ac3"/>
    <w:rPr>
      <w:rFonts w:ascii="Times New Roman" w:hAnsi="Times New Roman" w:eastAsia="Lucida Sans Unicode" w:cs="Tahoma"/>
      <w:b/>
      <w:bCs/>
      <w:i/>
      <w:iCs/>
      <w:sz w:val="28"/>
      <w:szCs w:val="28"/>
      <w:lang w:val="en-US" w:eastAsia="ar-SA"/>
    </w:rPr>
  </w:style>
  <w:style w:type="character" w:styleId="Hyperlink">
    <w:name w:val="Hyperlink"/>
    <w:basedOn w:val="DefaultParagraphFont"/>
    <w:uiPriority w:val="99"/>
    <w:unhideWhenUsed/>
    <w:rsid w:val="00c73ac3"/>
    <w:rPr>
      <w:color w:themeColor="hyperlink" w:val="0563C1"/>
      <w:u w:val="single"/>
    </w:rPr>
  </w:style>
  <w:style w:type="character" w:styleId="ConsPlusNormal" w:customStyle="1">
    <w:name w:val="ConsPlusNormal Знак"/>
    <w:link w:val="ConsPlusNormal1"/>
    <w:qFormat/>
    <w:locked/>
    <w:rsid w:val="00c73ac3"/>
    <w:rPr>
      <w:rFonts w:ascii="Arial" w:hAnsi="Arial" w:eastAsia="Arial" w:cs="Arial"/>
      <w:lang w:eastAsia="ar-SA"/>
    </w:rPr>
  </w:style>
  <w:style w:type="character" w:styleId="Style11" w:customStyle="1">
    <w:name w:val="Основной текст Знак"/>
    <w:basedOn w:val="DefaultParagraphFont"/>
    <w:uiPriority w:val="99"/>
    <w:semiHidden/>
    <w:qFormat/>
    <w:rsid w:val="00c73ac3"/>
    <w:rPr/>
  </w:style>
  <w:style w:type="character" w:styleId="UnresolvedMention">
    <w:name w:val="Unresolved Mention"/>
    <w:basedOn w:val="DefaultParagraphFont"/>
    <w:uiPriority w:val="99"/>
    <w:semiHidden/>
    <w:unhideWhenUsed/>
    <w:qFormat/>
    <w:rsid w:val="0096358a"/>
    <w:rPr>
      <w:color w:val="605E5C"/>
      <w:shd w:fill="E1DFDD" w:val="clear"/>
    </w:rPr>
  </w:style>
  <w:style w:type="character" w:styleId="Style12" w:customStyle="1">
    <w:name w:val="Верхний колонтитул Знак"/>
    <w:basedOn w:val="DefaultParagraphFont"/>
    <w:uiPriority w:val="99"/>
    <w:qFormat/>
    <w:rsid w:val="00046202"/>
    <w:rPr/>
  </w:style>
  <w:style w:type="character" w:styleId="Style13" w:customStyle="1">
    <w:name w:val="Нижний колонтитул Знак"/>
    <w:basedOn w:val="DefaultParagraphFont"/>
    <w:uiPriority w:val="99"/>
    <w:qFormat/>
    <w:rsid w:val="00046202"/>
    <w:rPr/>
  </w:style>
  <w:style w:type="character" w:styleId="Style14" w:customStyle="1">
    <w:name w:val="Текст выноски Знак"/>
    <w:basedOn w:val="DefaultParagraphFont"/>
    <w:link w:val="BalloonText"/>
    <w:uiPriority w:val="99"/>
    <w:semiHidden/>
    <w:qFormat/>
    <w:rsid w:val="00db4296"/>
    <w:rPr>
      <w:rFonts w:ascii="Segoe UI" w:hAnsi="Segoe UI" w:cs="Segoe UI"/>
      <w:sz w:val="18"/>
      <w:szCs w:val="18"/>
    </w:rPr>
  </w:style>
  <w:style w:type="character" w:styleId="highlightcolor" w:customStyle="1">
    <w:name w:val="highlightcolor"/>
    <w:basedOn w:val="DefaultParagraphFont"/>
    <w:qFormat/>
    <w:rsid w:val="008557f7"/>
    <w:rPr/>
  </w:style>
  <w:style w:type="character" w:styleId="Style15" w:customStyle="1">
    <w:name w:val="Основной текст_"/>
    <w:basedOn w:val="DefaultParagraphFont"/>
    <w:link w:val="11"/>
    <w:qFormat/>
    <w:rsid w:val="002b58a5"/>
    <w:rPr>
      <w:rFonts w:ascii="Times New Roman" w:hAnsi="Times New Roman" w:eastAsia="Times New Roman" w:cs="Times New Roman"/>
    </w:rPr>
  </w:style>
  <w:style w:type="character" w:styleId="3" w:customStyle="1">
    <w:name w:val="Заголовок 3 Знак"/>
    <w:basedOn w:val="DefaultParagraphFont"/>
    <w:uiPriority w:val="9"/>
    <w:semiHidden/>
    <w:qFormat/>
    <w:rsid w:val="009f566a"/>
    <w:rPr>
      <w:rFonts w:ascii="Calibri Light" w:hAnsi="Calibri Light" w:eastAsia="" w:cs="" w:asciiTheme="majorHAnsi" w:cstheme="majorBidi" w:eastAsiaTheme="majorEastAsia" w:hAnsiTheme="majorHAnsi"/>
      <w:color w:themeColor="accent1" w:themeShade="7f" w:val="1F4D78"/>
      <w:sz w:val="24"/>
      <w:szCs w:val="24"/>
    </w:rPr>
  </w:style>
  <w:style w:type="paragraph" w:styleId="Style16">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Style11"/>
    <w:uiPriority w:val="99"/>
    <w:semiHidden/>
    <w:unhideWhenUsed/>
    <w:rsid w:val="00c73ac3"/>
    <w:pPr>
      <w:spacing w:before="0" w:after="12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7">
    <w:name w:val="Указатель"/>
    <w:basedOn w:val="Normal"/>
    <w:qFormat/>
    <w:pPr>
      <w:suppressLineNumbers/>
    </w:pPr>
    <w:rPr>
      <w:rFonts w:cs="Lucida Sans"/>
    </w:rPr>
  </w:style>
  <w:style w:type="paragraph" w:styleId="user">
    <w:name w:val="Заголовок (user)"/>
    <w:basedOn w:val="Normal"/>
    <w:next w:val="BodyText"/>
    <w:qFormat/>
    <w:pPr>
      <w:keepNext w:val="true"/>
      <w:spacing w:before="240" w:after="120"/>
    </w:pPr>
    <w:rPr>
      <w:rFonts w:ascii="Liberation Sans" w:hAnsi="Liberation Sans" w:eastAsia="Microsoft YaHei" w:cs="Lucida Sans"/>
      <w:sz w:val="28"/>
      <w:szCs w:val="28"/>
    </w:rPr>
  </w:style>
  <w:style w:type="paragraph" w:styleId="user1">
    <w:name w:val="Указатель (user)"/>
    <w:basedOn w:val="Normal"/>
    <w:qFormat/>
    <w:pPr>
      <w:suppressLineNumbers/>
    </w:pPr>
    <w:rPr>
      <w:rFonts w:cs="Lucida Sans"/>
    </w:rPr>
  </w:style>
  <w:style w:type="paragraph" w:styleId="HTMLPreformatted">
    <w:name w:val="HTML Preformatted"/>
    <w:basedOn w:val="Normal"/>
    <w:link w:val="HTML"/>
    <w:uiPriority w:val="99"/>
    <w:semiHidden/>
    <w:unhideWhenUsed/>
    <w:qFormat/>
    <w:rsid w:val="00c73ac3"/>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ru-RU"/>
    </w:rPr>
  </w:style>
  <w:style w:type="paragraph" w:styleId="ConsPlusNormal1" w:customStyle="1">
    <w:name w:val="ConsPlusNormal"/>
    <w:link w:val="ConsPlusNormal"/>
    <w:qFormat/>
    <w:rsid w:val="00c73ac3"/>
    <w:pPr>
      <w:widowControl/>
      <w:suppressAutoHyphens w:val="true"/>
      <w:bidi w:val="0"/>
      <w:spacing w:lineRule="auto" w:line="240" w:before="0" w:after="0"/>
      <w:ind w:firstLine="720"/>
      <w:jc w:val="left"/>
    </w:pPr>
    <w:rPr>
      <w:rFonts w:ascii="Arial" w:hAnsi="Arial" w:eastAsia="Arial" w:cs="Arial"/>
      <w:color w:val="auto"/>
      <w:kern w:val="0"/>
      <w:sz w:val="22"/>
      <w:szCs w:val="22"/>
      <w:lang w:val="ru-RU" w:eastAsia="ar-SA" w:bidi="ar-SA"/>
    </w:rPr>
  </w:style>
  <w:style w:type="paragraph" w:styleId="parametervalue" w:customStyle="1">
    <w:name w:val="parametervalue"/>
    <w:basedOn w:val="Normal"/>
    <w:qFormat/>
    <w:rsid w:val="00c73ac3"/>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99"/>
    <w:qFormat/>
    <w:rsid w:val="00c73ac3"/>
    <w:pPr>
      <w:spacing w:lineRule="auto" w:line="240" w:before="0" w:after="0"/>
      <w:ind w:left="720"/>
    </w:pPr>
    <w:rPr>
      <w:rFonts w:ascii="Calibri" w:hAnsi="Calibri" w:eastAsia="Times New Roman" w:cs="Calibri"/>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2"/>
    <w:uiPriority w:val="99"/>
    <w:unhideWhenUsed/>
    <w:rsid w:val="00046202"/>
    <w:pPr>
      <w:tabs>
        <w:tab w:val="clear" w:pos="708"/>
        <w:tab w:val="center" w:pos="4677" w:leader="none"/>
        <w:tab w:val="right" w:pos="9355" w:leader="none"/>
      </w:tabs>
      <w:spacing w:lineRule="auto" w:line="240" w:before="0" w:after="0"/>
    </w:pPr>
    <w:rPr/>
  </w:style>
  <w:style w:type="paragraph" w:styleId="Footer">
    <w:name w:val="footer"/>
    <w:basedOn w:val="Normal"/>
    <w:link w:val="Style13"/>
    <w:uiPriority w:val="99"/>
    <w:unhideWhenUsed/>
    <w:rsid w:val="00046202"/>
    <w:pPr>
      <w:tabs>
        <w:tab w:val="clear" w:pos="708"/>
        <w:tab w:val="center" w:pos="4677" w:leader="none"/>
        <w:tab w:val="right" w:pos="9355" w:leader="none"/>
      </w:tabs>
      <w:spacing w:lineRule="auto" w:line="240" w:before="0" w:after="0"/>
    </w:pPr>
    <w:rPr/>
  </w:style>
  <w:style w:type="paragraph" w:styleId="BalloonText">
    <w:name w:val="Balloon Text"/>
    <w:basedOn w:val="Normal"/>
    <w:link w:val="Style14"/>
    <w:uiPriority w:val="99"/>
    <w:semiHidden/>
    <w:unhideWhenUsed/>
    <w:qFormat/>
    <w:rsid w:val="00db4296"/>
    <w:pPr>
      <w:spacing w:lineRule="auto" w:line="240" w:before="0" w:after="0"/>
    </w:pPr>
    <w:rPr>
      <w:rFonts w:ascii="Segoe UI" w:hAnsi="Segoe UI" w:cs="Segoe UI"/>
      <w:sz w:val="18"/>
      <w:szCs w:val="18"/>
    </w:rPr>
  </w:style>
  <w:style w:type="paragraph" w:styleId="NormalWeb">
    <w:name w:val="Normal (Web)"/>
    <w:basedOn w:val="Normal"/>
    <w:uiPriority w:val="99"/>
    <w:unhideWhenUsed/>
    <w:qFormat/>
    <w:rsid w:val="005b48b5"/>
    <w:pPr>
      <w:spacing w:lineRule="auto" w:line="240" w:beforeAutospacing="1" w:afterAutospacing="1"/>
    </w:pPr>
    <w:rPr>
      <w:rFonts w:ascii="Times New Roman" w:hAnsi="Times New Roman" w:eastAsia="Times New Roman" w:cs="Times New Roman"/>
      <w:sz w:val="24"/>
      <w:szCs w:val="24"/>
      <w:lang w:eastAsia="ru-RU"/>
    </w:rPr>
  </w:style>
  <w:style w:type="paragraph" w:styleId="Standard" w:customStyle="1">
    <w:name w:val="Standard"/>
    <w:qFormat/>
    <w:rsid w:val="00dd29c3"/>
    <w:pPr>
      <w:widowControl/>
      <w:suppressAutoHyphens w:val="true"/>
      <w:bidi w:val="0"/>
      <w:spacing w:lineRule="auto" w:line="276" w:before="0" w:after="200"/>
      <w:jc w:val="left"/>
      <w:textAlignment w:val="baseline"/>
    </w:pPr>
    <w:rPr>
      <w:rFonts w:ascii="Calibri" w:hAnsi="Calibri" w:eastAsia="Times New Roman" w:cs="Calibri" w:asciiTheme="minorHAnsi" w:hAnsiTheme="minorHAnsi"/>
      <w:color w:val="auto"/>
      <w:kern w:val="2"/>
      <w:sz w:val="22"/>
      <w:szCs w:val="22"/>
      <w:lang w:val="ru-RU" w:eastAsia="ar-SA" w:bidi="ar-SA"/>
    </w:rPr>
  </w:style>
  <w:style w:type="paragraph" w:styleId="11" w:customStyle="1">
    <w:name w:val="Основной текст1"/>
    <w:basedOn w:val="Normal"/>
    <w:link w:val="Style15"/>
    <w:qFormat/>
    <w:rsid w:val="002b58a5"/>
    <w:pPr>
      <w:widowControl w:val="false"/>
      <w:spacing w:lineRule="auto" w:line="360" w:before="0" w:after="0"/>
      <w:ind w:firstLine="400"/>
    </w:pPr>
    <w:rPr>
      <w:rFonts w:ascii="Times New Roman" w:hAnsi="Times New Roman" w:eastAsia="Times New Roman" w:cs="Times New Roman"/>
    </w:rPr>
  </w:style>
  <w:style w:type="numbering" w:styleId="user3" w:default="1">
    <w:name w:val="Без списка (user)"/>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 w:type="table" w:styleId="a5">
    <w:name w:val="Table Grid"/>
    <w:basedOn w:val="a2"/>
    <w:uiPriority w:val="39"/>
    <w:rsid w:val="00c73ac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117</TotalTime>
  <Application>LibreOffice/25.2.5.2$Windows_X86_64 LibreOffice_project/03d19516eb2e1dd5d4ccd751a0d6f35f35e08022</Application>
  <AppVersion>15.0000</AppVersion>
  <Pages>9</Pages>
  <Words>3377</Words>
  <Characters>24359</Characters>
  <CharactersWithSpaces>27780</CharactersWithSpaces>
  <Paragraphs>102</Paragraphs>
  <Company>diakov.net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2024-12-25T09:39:00Z</dcterms:created>
  <dc:creator>Столбова Анна Николаевна</dc:creator>
  <dc:description/>
  <dc:language>ru-RU</dc:language>
  <cp:lastModifiedBy/>
  <cp:lastPrinted>2025-09-05T15:22:11Z</cp:lastPrinted>
  <dcterms:modified xsi:type="dcterms:W3CDTF">2025-09-08T15:20:17Z</dcterms:modified>
  <cp:revision>32</cp:revision>
  <dc:subject/>
  <dc:title/>
</cp:coreProperties>
</file>

<file path=docProps/custom.xml><?xml version="1.0" encoding="utf-8"?>
<Properties xmlns="http://schemas.openxmlformats.org/officeDocument/2006/custom-properties" xmlns:vt="http://schemas.openxmlformats.org/officeDocument/2006/docPropsVTypes"/>
</file>