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160"/>
        <w:ind w:left="5245"/>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before="0" w:after="160"/>
        <w:ind w:left="5245"/>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before="0" w:after="160"/>
        <w:ind w:left="5245"/>
        <w:contextualSpacing/>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rPr>
          <w:rFonts w:ascii="Times New Roman" w:hAnsi="Times New Roman"/>
          <w:sz w:val="26"/>
          <w:szCs w:val="26"/>
          <w:lang w:eastAsia="ar-SA"/>
        </w:rPr>
      </w:pPr>
      <w:r>
        <w:rPr>
          <w:rFonts w:ascii="Times New Roman" w:hAnsi="Times New Roman"/>
          <w:sz w:val="26"/>
          <w:szCs w:val="26"/>
          <w:lang w:eastAsia="ar-SA"/>
        </w:rPr>
      </w:r>
    </w:p>
    <w:p>
      <w:pPr>
        <w:pStyle w:val="Normal"/>
        <w:widowControl w:val="false"/>
        <w:spacing w:lineRule="auto" w:line="240" w:before="0" w:after="0"/>
        <w:ind w:firstLine="709" w:right="566"/>
        <w:jc w:val="center"/>
        <w:rPr>
          <w:rFonts w:ascii="Times New Roman" w:hAnsi="Times New Roman"/>
          <w:sz w:val="26"/>
          <w:szCs w:val="26"/>
          <w:lang w:eastAsia="ar-SA"/>
        </w:rPr>
      </w:pPr>
      <w:r>
        <w:rPr>
          <w:rFonts w:ascii="Times New Roman" w:hAnsi="Times New Roman"/>
          <w:sz w:val="26"/>
          <w:szCs w:val="26"/>
          <w:lang w:eastAsia="ar-SA"/>
        </w:rPr>
        <w:t xml:space="preserve">Р Е Ш Е Н И Е </w:t>
      </w:r>
    </w:p>
    <w:p>
      <w:pPr>
        <w:pStyle w:val="Normal"/>
        <w:widowControl w:val="false"/>
        <w:spacing w:lineRule="auto" w:line="240" w:before="0" w:after="0"/>
        <w:ind w:firstLine="709" w:right="566"/>
        <w:jc w:val="center"/>
        <w:rPr>
          <w:rFonts w:ascii="Times New Roman" w:hAnsi="Times New Roman"/>
          <w:sz w:val="26"/>
          <w:szCs w:val="26"/>
          <w:lang w:eastAsia="ar-SA"/>
        </w:rPr>
      </w:pPr>
      <w:r>
        <w:rPr>
          <w:rFonts w:ascii="Times New Roman" w:hAnsi="Times New Roman"/>
          <w:sz w:val="26"/>
          <w:szCs w:val="26"/>
          <w:lang w:eastAsia="ar-SA"/>
        </w:rPr>
        <w:t>по жалобе ООО «Технологии Доступа»</w:t>
      </w:r>
    </w:p>
    <w:p>
      <w:pPr>
        <w:pStyle w:val="Normal"/>
        <w:widowControl w:val="false"/>
        <w:spacing w:lineRule="auto" w:line="240" w:before="0" w:after="0"/>
        <w:ind w:firstLine="709" w:right="566"/>
        <w:jc w:val="center"/>
        <w:rPr>
          <w:rFonts w:ascii="Times New Roman" w:hAnsi="Times New Roman"/>
          <w:sz w:val="26"/>
          <w:szCs w:val="26"/>
          <w:lang w:eastAsia="ar-SA"/>
        </w:rPr>
      </w:pPr>
      <w:r>
        <w:rPr>
          <w:rFonts w:ascii="Times New Roman" w:hAnsi="Times New Roman"/>
          <w:sz w:val="26"/>
          <w:szCs w:val="26"/>
          <w:lang w:eastAsia="ar-SA"/>
        </w:rPr>
        <w:t xml:space="preserve">№  </w:t>
      </w:r>
      <w:r>
        <w:rPr>
          <w:rFonts w:ascii="Times New Roman" w:hAnsi="Times New Roman"/>
          <w:sz w:val="26"/>
          <w:szCs w:val="26"/>
          <w:lang w:eastAsia="ar-SA"/>
        </w:rPr>
        <w:t>351-14821-25/4</w:t>
      </w:r>
    </w:p>
    <w:p>
      <w:pPr>
        <w:pStyle w:val="Normal"/>
        <w:widowControl w:val="false"/>
        <w:spacing w:lineRule="auto" w:line="240" w:before="0" w:after="0"/>
        <w:ind w:firstLine="709" w:right="566"/>
        <w:jc w:val="both"/>
        <w:rPr>
          <w:rFonts w:ascii="Times New Roman" w:hAnsi="Times New Roman"/>
          <w:sz w:val="26"/>
          <w:szCs w:val="26"/>
          <w:lang w:eastAsia="ar-SA"/>
        </w:rPr>
      </w:pPr>
      <w:r>
        <w:rPr>
          <w:rFonts w:ascii="Times New Roman" w:hAnsi="Times New Roman"/>
          <w:sz w:val="26"/>
          <w:szCs w:val="26"/>
          <w:lang w:eastAsia="ar-SA"/>
        </w:rPr>
      </w:r>
    </w:p>
    <w:p>
      <w:pPr>
        <w:pStyle w:val="Normal"/>
        <w:widowControl w:val="false"/>
        <w:spacing w:lineRule="auto" w:line="240" w:before="0" w:after="0"/>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pPr>
        <w:pStyle w:val="Normal"/>
        <w:widowControl w:val="false"/>
        <w:spacing w:lineRule="auto" w:line="240" w:before="0" w:after="0"/>
        <w:rPr>
          <w:rFonts w:ascii="Times New Roman" w:hAnsi="Times New Roman"/>
          <w:sz w:val="26"/>
          <w:szCs w:val="26"/>
          <w:lang w:eastAsia="ar-SA"/>
        </w:rPr>
      </w:pPr>
      <w:r>
        <w:rPr>
          <w:rFonts w:ascii="Times New Roman" w:hAnsi="Times New Roman"/>
          <w:sz w:val="26"/>
          <w:szCs w:val="26"/>
          <w:lang w:eastAsia="ar-SA"/>
        </w:rPr>
        <w:t xml:space="preserve">09.09.2025г.                                                                                          </w:t>
        <w:tab/>
        <w:t xml:space="preserve">                    г. Самара</w:t>
      </w:r>
    </w:p>
    <w:p>
      <w:pPr>
        <w:pStyle w:val="Normal"/>
        <w:widowControl w:val="false"/>
        <w:spacing w:lineRule="auto" w:line="240" w:before="0" w:after="0"/>
        <w:ind w:firstLine="709" w:right="566"/>
        <w:rPr>
          <w:rFonts w:ascii="Times New Roman" w:hAnsi="Times New Roman"/>
          <w:sz w:val="26"/>
          <w:szCs w:val="26"/>
          <w:lang w:eastAsia="ar-SA"/>
        </w:rPr>
      </w:pPr>
      <w:r>
        <w:rPr>
          <w:rFonts w:ascii="Times New Roman" w:hAnsi="Times New Roman"/>
          <w:sz w:val="26"/>
          <w:szCs w:val="26"/>
          <w:lang w:eastAsia="ar-SA"/>
        </w:rPr>
      </w:r>
    </w:p>
    <w:p>
      <w:pPr>
        <w:pStyle w:val="Normal"/>
        <w:spacing w:lineRule="atLeast" w:line="20" w:before="0" w:after="0"/>
        <w:ind w:firstLine="709"/>
        <w:jc w:val="both"/>
        <w:rPr>
          <w:rFonts w:ascii="Times New Roman" w:hAnsi="Times New Roman"/>
        </w:rPr>
      </w:pPr>
      <w:r>
        <w:rPr>
          <w:rFonts w:cs="Times New Roman"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до и после перерыва:</w:t>
      </w:r>
    </w:p>
    <w:p>
      <w:pPr>
        <w:pStyle w:val="Normal"/>
        <w:spacing w:lineRule="atLeast" w:line="20" w:before="0" w:after="0"/>
        <w:ind w:firstLine="709"/>
        <w:jc w:val="both"/>
        <w:rPr/>
      </w:pPr>
      <w:r>
        <w:rPr>
          <w:rFonts w:ascii="Times New Roman" w:hAnsi="Times New Roman"/>
          <w:sz w:val="26"/>
          <w:szCs w:val="26"/>
        </w:rPr>
        <w:t xml:space="preserve">рассмотрев в порядке, установленном статьей 106 </w:t>
      </w:r>
      <w:bookmarkStart w:id="0" w:name="_Hlk127785467"/>
      <w:r>
        <w:rPr>
          <w:rFonts w:ascii="Times New Roman" w:hAnsi="Times New Roman"/>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0"/>
      <w:r>
        <w:rPr>
          <w:rFonts w:ascii="Times New Roman" w:hAnsi="Times New Roman"/>
          <w:sz w:val="26"/>
          <w:szCs w:val="26"/>
        </w:rPr>
        <w:t>, жалобу ООО «Технологии доступа» на положения извещения при проведении электронного аукциона на оказание услуги по предоставлению прав использования и внедрению специального программного обеспечения мобильного приложения «Система обеспечения вызова экстренных оперативных служб по единому номеру 112 Самарской области» (извещение № 0142200001325019888, начальная (максимальная) цена контракта - 2 000 000,00),</w:t>
      </w:r>
    </w:p>
    <w:p>
      <w:pPr>
        <w:pStyle w:val="Heading1"/>
        <w:numPr>
          <w:ilvl w:val="0"/>
          <w:numId w:val="0"/>
        </w:numPr>
        <w:tabs>
          <w:tab w:val="left" w:pos="0" w:leader="none"/>
          <w:tab w:val="left" w:pos="708" w:leader="none"/>
        </w:tabs>
        <w:spacing w:lineRule="atLeast" w:line="20"/>
        <w:ind w:firstLine="709" w:left="0"/>
        <w:jc w:val="both"/>
        <w:rPr>
          <w:sz w:val="26"/>
          <w:szCs w:val="26"/>
        </w:rPr>
      </w:pPr>
      <w:r>
        <w:rPr>
          <w:sz w:val="26"/>
          <w:szCs w:val="26"/>
        </w:rPr>
        <w:t>в присутствии представителей до и после перерыва: от Заказчика, Уполномоченного органа, Заявителя (с надлежаще оформленными доверенностями),</w:t>
      </w:r>
    </w:p>
    <w:p>
      <w:pPr>
        <w:pStyle w:val="Normal"/>
        <w:spacing w:lineRule="atLeast" w:line="20" w:before="0" w:after="0"/>
        <w:ind w:firstLine="709"/>
        <w:rPr>
          <w:rFonts w:ascii="Times New Roman" w:hAnsi="Times New Roman" w:cs="Times New Roman"/>
          <w:sz w:val="26"/>
          <w:szCs w:val="26"/>
          <w:lang w:eastAsia="ar-SA"/>
        </w:rPr>
      </w:pPr>
      <w:r>
        <w:rPr>
          <w:rFonts w:cs="Times New Roman" w:ascii="Times New Roman" w:hAnsi="Times New Roman"/>
          <w:sz w:val="26"/>
          <w:szCs w:val="26"/>
          <w:lang w:eastAsia="ar-SA"/>
        </w:rPr>
      </w:r>
    </w:p>
    <w:p>
      <w:pPr>
        <w:pStyle w:val="Normal"/>
        <w:spacing w:lineRule="atLeast" w:line="20" w:before="0" w:after="0"/>
        <w:ind w:firstLine="709"/>
        <w:jc w:val="center"/>
        <w:rPr>
          <w:rFonts w:ascii="Times New Roman" w:hAnsi="Times New Roman" w:cs="Times New Roman"/>
          <w:sz w:val="26"/>
          <w:szCs w:val="26"/>
          <w:lang w:eastAsia="ar-SA"/>
        </w:rPr>
      </w:pPr>
      <w:r>
        <w:rPr>
          <w:rFonts w:cs="Times New Roman" w:ascii="Times New Roman" w:hAnsi="Times New Roman"/>
          <w:sz w:val="26"/>
          <w:szCs w:val="26"/>
          <w:lang w:eastAsia="ar-SA"/>
        </w:rPr>
      </w:r>
    </w:p>
    <w:p>
      <w:pPr>
        <w:pStyle w:val="Normal"/>
        <w:spacing w:lineRule="atLeast" w:line="20" w:before="0" w:after="0"/>
        <w:ind w:firstLine="709"/>
        <w:jc w:val="center"/>
        <w:rPr>
          <w:rFonts w:ascii="Times New Roman" w:hAnsi="Times New Roman" w:cs="Times New Roman"/>
          <w:sz w:val="26"/>
          <w:szCs w:val="26"/>
          <w:lang w:eastAsia="ar-SA"/>
        </w:rPr>
      </w:pPr>
      <w:r>
        <w:rPr>
          <w:rFonts w:cs="Times New Roman" w:ascii="Times New Roman" w:hAnsi="Times New Roman"/>
          <w:sz w:val="26"/>
          <w:szCs w:val="26"/>
          <w:lang w:eastAsia="ar-SA"/>
        </w:rPr>
        <w:t>У С Т А Н О В И Л А:</w:t>
      </w:r>
    </w:p>
    <w:p>
      <w:pPr>
        <w:pStyle w:val="Normal"/>
        <w:spacing w:lineRule="atLeast" w:line="20" w:before="0" w:after="0"/>
        <w:ind w:firstLine="709"/>
        <w:jc w:val="center"/>
        <w:rPr>
          <w:rFonts w:ascii="Times New Roman" w:hAnsi="Times New Roman" w:cs="Times New Roman"/>
          <w:sz w:val="26"/>
          <w:szCs w:val="26"/>
          <w:lang w:eastAsia="ar-SA"/>
        </w:rPr>
      </w:pPr>
      <w:r>
        <w:rPr>
          <w:rFonts w:cs="Times New Roman" w:ascii="Times New Roman" w:hAnsi="Times New Roman"/>
          <w:sz w:val="26"/>
          <w:szCs w:val="26"/>
          <w:lang w:eastAsia="ar-SA"/>
        </w:rPr>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В Самарское УФАС России поступила жалоба на действия Заказчика при проведении электронного аукциона.</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Согласно доводам жалобы Заказчиком при формировании закупки допущен</w:t>
      </w:r>
      <w:r>
        <w:rPr>
          <w:sz w:val="26"/>
          <w:szCs w:val="26"/>
          <w:lang w:val="ru-RU" w:eastAsia="ar-SA"/>
        </w:rPr>
        <w:t>о</w:t>
      </w:r>
      <w:r>
        <w:rPr>
          <w:sz w:val="26"/>
          <w:szCs w:val="26"/>
          <w:lang w:eastAsia="ar-SA"/>
        </w:rPr>
        <w:t xml:space="preserve"> нарушени</w:t>
      </w:r>
      <w:r>
        <w:rPr>
          <w:sz w:val="26"/>
          <w:szCs w:val="26"/>
          <w:lang w:val="ru-RU" w:eastAsia="ar-SA"/>
        </w:rPr>
        <w:t>е требований законодательства о контрактной системе, а именно, в техническом задании установлено требование о передаче права на использование СПО Эмеркор, без возможности эквивалента.</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Представители Заказчика, Уполномоченного органа с доводами жалоб не согласились, просили в удовлетворении жалоб отказать, указывая на отсутствие нарушений, Заказчик предоставил письменные возражения на жалобу, запрашиваемые документы.</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Выслушав доводы сторон, изучив материалы жалоб, извещение об аукционе, приложения к извещению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 xml:space="preserve">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В соответствии с пунктом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 xml:space="preserve">Часть 2 статьи 33 устанавливает,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Из доводов жалобы следует, что Заказчиком неправомерно установлено требование  о передачи не исключительных прав  на конкретное программное обеспечение. Кроме того, по мнению Заявителя, Заказчиком не приведено обоснования несовместимости ПО  других с другими программными обеспечениями.</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t xml:space="preserve">Из Технического задания закупки (Приложение №1 к контракту) следует, что в рамках оказания услуг Исполнитель обязан передать права на использование СПО «Эмеркор. Мобильное приложение Системы -112»* (далее – МП - Системы-112) и обеспечить реализацию функциональных возможностей в соответствии с Приложением 2 настоящего ТЗ. </w:t>
      </w:r>
    </w:p>
    <w:p>
      <w:pPr>
        <w:pStyle w:val="parametervalue"/>
        <w:spacing w:lineRule="atLeast" w:line="20" w:beforeAutospacing="0" w:before="0" w:afterAutospacing="0" w:after="0"/>
        <w:ind w:firstLine="709"/>
        <w:contextualSpacing/>
        <w:jc w:val="both"/>
        <w:rPr>
          <w:sz w:val="26"/>
          <w:szCs w:val="26"/>
          <w:lang w:eastAsia="ar-SA"/>
        </w:rPr>
      </w:pPr>
      <w:r>
        <w:rPr>
          <w:sz w:val="26"/>
          <w:szCs w:val="26"/>
          <w:lang w:eastAsia="ar-SA"/>
        </w:rPr>
        <w:t xml:space="preserve">* </w:t>
      </w:r>
      <w:r>
        <w:rPr>
          <w:i/>
          <w:iCs/>
          <w:sz w:val="26"/>
          <w:szCs w:val="26"/>
          <w:lang w:eastAsia="ar-SA"/>
        </w:rPr>
        <w:t>«Эквивалент недопустим, в связи с необходимостью обеспечения взаимодействия с программным обеспечением заказчика».</w:t>
      </w:r>
    </w:p>
    <w:p>
      <w:pPr>
        <w:pStyle w:val="parametervalue"/>
        <w:spacing w:lineRule="atLeast" w:line="20" w:beforeAutospacing="0" w:before="0" w:afterAutospacing="0" w:after="0"/>
        <w:ind w:firstLine="709"/>
        <w:contextualSpacing/>
        <w:jc w:val="both"/>
        <w:rPr>
          <w:sz w:val="26"/>
          <w:szCs w:val="26"/>
          <w:lang w:eastAsia="ar-SA"/>
        </w:rPr>
      </w:pPr>
      <w:r>
        <w:rPr>
          <w:i w:val="false"/>
          <w:iCs w:val="false"/>
          <w:sz w:val="26"/>
          <w:szCs w:val="26"/>
          <w:lang w:val="ru-RU" w:eastAsia="ar-SA"/>
        </w:rPr>
        <w:t>Таким образом, у</w:t>
      </w:r>
      <w:r>
        <w:rPr>
          <w:rFonts w:eastAsia="Times New Roman" w:cs="Times New Roman"/>
          <w:b w:val="false"/>
          <w:sz w:val="26"/>
          <w:szCs w:val="26"/>
          <w:lang w:eastAsia="ar-SA"/>
        </w:rPr>
        <w:t>словия технического задания содержат прямой запрет на поставку товара под условием эквивалентности.</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 xml:space="preserve">Согласно письменным пояснениям Заказчика указанное требование обусловлено необходимостью обеспечения совместимости закупаемого программного продукта с используемыми заказчиком программными комплексами «КоордКом» и «Эмеркор», заказчиком в техническом задании установлено требование о предоставлении прав использования программного обеспечения «Эмеркор. Мобильное приложение Системы-112». </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Вместе с тем, описание объекта закупки в данном случае не содержит сведений о специфике или несовместимости программных обеспечений иных разработчиков с имеющимися на балансе заказчика техническими устройствами и не содержит никакого существенного обоснования установленным требованиям.</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В пункте 2 Обзора судебной практики Верховного Суда Российской Федерации от 28.06.2017 установлено, что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Описание объекта закупки в данном случае не содержит сведений о специфике или несовместимости программных обеспечений иных разработчиков с имеющимися на балансе заказчика техническими устройствами и не содержит никакого существенного обоснования установленным требованиям.</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Закупаемая заказчиком Система 112 в других регионах построена на различных решениях и интегрируется согласно утвержденным стандартам и протоколам, и неясно в силу какой специфики заказчику требуются отдельные неизвестные модули именно программных продуктов ПК «Коордком» и «Эмеркор».</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Заказчик, проводя закупки на программные продукты АО «Сфера» не  ограничен в формулировании условий под свои потребности, например, с обязанностью исполнителя в последующем обеспечить совместимость с новыми модулями других разработчиков.</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Указанная позиция подтверждается сложившейся судебной практикой (Постановление Арбитражного суда Поволжского округа от 02.11.2024 №Ф06-9040/2024).</w:t>
      </w:r>
    </w:p>
    <w:p>
      <w:pPr>
        <w:pStyle w:val="parametervalue"/>
        <w:spacing w:lineRule="atLeast" w:line="20" w:beforeAutospacing="0" w:before="0" w:afterAutospacing="0" w:after="0"/>
        <w:ind w:firstLine="709"/>
        <w:contextualSpacing/>
        <w:jc w:val="both"/>
        <w:rPr>
          <w:sz w:val="26"/>
          <w:szCs w:val="26"/>
          <w:highlight w:val="none"/>
          <w:shd w:fill="auto" w:val="clear"/>
        </w:rPr>
      </w:pPr>
      <w:r>
        <w:rPr>
          <w:i w:val="false"/>
          <w:iCs w:val="false"/>
          <w:sz w:val="26"/>
          <w:szCs w:val="26"/>
          <w:shd w:fill="auto" w:val="clear"/>
          <w:lang w:eastAsia="ar-SA"/>
        </w:rPr>
        <w:t>Кроме того, согласно п. 31 Информационной карты электронного аукциона документами и информацией, подтверждающими страну происхождения товаров является порядковый номер реестровой записи из реестра российского программного обеспечения (единого реестра российских программ для электронных вычислительных машин и баз данных).</w:t>
      </w:r>
    </w:p>
    <w:p>
      <w:pPr>
        <w:pStyle w:val="parametervalue"/>
        <w:spacing w:lineRule="atLeast" w:line="20" w:beforeAutospacing="0" w:before="0" w:afterAutospacing="0" w:after="0"/>
        <w:ind w:firstLine="709"/>
        <w:contextualSpacing/>
        <w:jc w:val="both"/>
        <w:rPr>
          <w:sz w:val="26"/>
          <w:szCs w:val="26"/>
          <w:highlight w:val="none"/>
          <w:shd w:fill="auto" w:val="clear"/>
        </w:rPr>
      </w:pPr>
      <w:r>
        <w:rPr>
          <w:i w:val="false"/>
          <w:iCs w:val="false"/>
          <w:sz w:val="26"/>
          <w:szCs w:val="26"/>
          <w:shd w:fill="auto" w:val="clear"/>
          <w:lang w:eastAsia="ar-SA"/>
        </w:rPr>
        <w:t>Вместе с тем, указанное Заказчиком программное обеспечение «Эмеркор. Мобильное приложение Системы -112» отсутствует в реестре.</w:t>
      </w:r>
    </w:p>
    <w:p>
      <w:pPr>
        <w:pStyle w:val="parametervalue"/>
        <w:spacing w:lineRule="atLeast" w:line="20" w:beforeAutospacing="0" w:before="0" w:afterAutospacing="0" w:after="0"/>
        <w:ind w:firstLine="709"/>
        <w:contextualSpacing/>
        <w:jc w:val="both"/>
        <w:rPr>
          <w:sz w:val="26"/>
          <w:szCs w:val="26"/>
          <w:highlight w:val="none"/>
          <w:shd w:fill="auto" w:val="clear"/>
        </w:rPr>
      </w:pPr>
      <w:r>
        <w:rPr>
          <w:sz w:val="26"/>
          <w:szCs w:val="26"/>
          <w:shd w:fill="auto" w:val="clear"/>
        </w:rPr>
        <w:t>Реестр отечественного ПО содержит лишь сведения в отношении программного продукта компании АО «Сфера» – «Эмеркор», но сведения о Мобильном приложении отсутствут.</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Доводы заявителя признаются обоснованными.</w:t>
      </w:r>
    </w:p>
    <w:p>
      <w:pPr>
        <w:pStyle w:val="parametervalue"/>
        <w:spacing w:lineRule="atLeast" w:line="20" w:beforeAutospacing="0" w:before="0" w:afterAutospacing="0" w:after="0"/>
        <w:ind w:firstLine="709"/>
        <w:contextualSpacing/>
        <w:jc w:val="both"/>
        <w:rPr>
          <w:i w:val="false"/>
          <w:i w:val="false"/>
          <w:iCs w:val="false"/>
          <w:sz w:val="26"/>
          <w:szCs w:val="26"/>
          <w:highlight w:val="none"/>
          <w:shd w:fill="auto" w:val="clear"/>
          <w:lang w:eastAsia="ar-SA"/>
        </w:rPr>
      </w:pPr>
      <w:r>
        <w:rPr>
          <w:i w:val="false"/>
          <w:iCs w:val="false"/>
          <w:sz w:val="26"/>
          <w:szCs w:val="26"/>
          <w:shd w:fill="auto" w:val="clear"/>
          <w:lang w:eastAsia="ar-SA"/>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parametervalue"/>
        <w:spacing w:lineRule="atLeast" w:line="20" w:beforeAutospacing="0" w:before="0" w:afterAutospacing="0" w:after="0"/>
        <w:ind w:firstLine="709"/>
        <w:contextualSpacing/>
        <w:jc w:val="both"/>
        <w:rPr>
          <w:i w:val="false"/>
          <w:i w:val="false"/>
          <w:iCs w:val="false"/>
          <w:sz w:val="26"/>
          <w:szCs w:val="26"/>
          <w:lang w:eastAsia="ar-SA"/>
        </w:rPr>
      </w:pPr>
      <w:r>
        <w:rPr>
          <w:i w:val="false"/>
          <w:iCs w:val="false"/>
          <w:sz w:val="26"/>
          <w:szCs w:val="26"/>
          <w:lang w:eastAsia="ar-SA"/>
        </w:rPr>
        <w:t>Ограничение количества участников закупки путем установления таких требований, которые направлены только на конкретного исполнителя, ставят под сомнение эффективность использования бюджетных средств.</w:t>
      </w:r>
    </w:p>
    <w:p>
      <w:pPr>
        <w:pStyle w:val="parametervalue"/>
        <w:spacing w:lineRule="atLeast" w:line="20" w:beforeAutospacing="0" w:before="0" w:afterAutospacing="0" w:after="0"/>
        <w:ind w:firstLine="709"/>
        <w:contextualSpacing/>
        <w:jc w:val="both"/>
        <w:rPr/>
      </w:pPr>
      <w:r>
        <w:rPr>
          <w:i w:val="false"/>
          <w:iCs w:val="false"/>
          <w:sz w:val="26"/>
          <w:szCs w:val="26"/>
          <w:lang w:eastAsia="ar-SA"/>
        </w:rPr>
        <w:t>Наличие одной заявки и отсутствие снижения цены свидетельствуют о наличии нарушений Закона о защите конкуренции и изначальному установлению условий, ограничивающих количество участников закупки.</w:t>
      </w:r>
    </w:p>
    <w:p>
      <w:pPr>
        <w:pStyle w:val="parametervalue"/>
        <w:spacing w:lineRule="atLeast" w:line="20" w:beforeAutospacing="0" w:before="0" w:afterAutospacing="0" w:after="0"/>
        <w:ind w:firstLine="709"/>
        <w:contextualSpacing/>
        <w:jc w:val="both"/>
        <w:rPr>
          <w:sz w:val="26"/>
          <w:szCs w:val="26"/>
          <w:lang w:eastAsia="ar-SA"/>
        </w:rPr>
      </w:pPr>
      <w:r>
        <w:rPr>
          <w:sz w:val="26"/>
          <w:szCs w:val="26"/>
          <w:lang w:eastAsia="ar-SA"/>
        </w:rPr>
        <w:t>На основании изложенного Комиссия приходит к выводу о том, что действия Заказчика нарушают пункт 1 части 1 статьи 33, части 2 статьи 8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pPr>
        <w:pStyle w:val="parametervalue"/>
        <w:spacing w:lineRule="atLeast" w:line="20" w:beforeAutospacing="0" w:before="0" w:afterAutospacing="0" w:after="0"/>
        <w:contextualSpacing/>
        <w:jc w:val="both"/>
        <w:rPr>
          <w:sz w:val="26"/>
          <w:szCs w:val="26"/>
          <w:lang w:eastAsia="ar-SA"/>
        </w:rPr>
      </w:pPr>
      <w:r>
        <w:rPr>
          <w:sz w:val="26"/>
          <w:szCs w:val="26"/>
          <w:lang w:eastAsia="ar-SA"/>
        </w:rPr>
      </w:r>
    </w:p>
    <w:p>
      <w:pPr>
        <w:pStyle w:val="Normal"/>
        <w:tabs>
          <w:tab w:val="clear" w:pos="708"/>
          <w:tab w:val="left" w:pos="6369" w:leader="none"/>
          <w:tab w:val="left" w:pos="9639" w:leader="none"/>
        </w:tabs>
        <w:spacing w:lineRule="atLeast" w:line="2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Руководствуясь частью 8 статьи 106 Закона о контрактной системе в сфере закупок, Комиссия Самарского УФАС России,      </w:t>
      </w:r>
    </w:p>
    <w:p>
      <w:pPr>
        <w:pStyle w:val="Normal"/>
        <w:tabs>
          <w:tab w:val="clear" w:pos="708"/>
          <w:tab w:val="left" w:pos="6369" w:leader="none"/>
          <w:tab w:val="left" w:pos="9639" w:leader="none"/>
        </w:tabs>
        <w:spacing w:lineRule="atLeast" w:line="2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ConsPlusNormal1"/>
        <w:spacing w:lineRule="atLeast" w:line="20"/>
        <w:ind w:firstLine="709"/>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Р Е Ш И Л А:</w:t>
      </w:r>
    </w:p>
    <w:p>
      <w:pPr>
        <w:pStyle w:val="parametervalue"/>
        <w:spacing w:lineRule="atLeast" w:line="20" w:beforeAutospacing="0" w:before="0" w:afterAutospacing="0" w:after="0"/>
        <w:ind w:firstLine="709"/>
        <w:jc w:val="both"/>
        <w:rPr>
          <w:sz w:val="26"/>
          <w:szCs w:val="26"/>
          <w:lang w:eastAsia="ar-SA"/>
        </w:rPr>
      </w:pPr>
      <w:r>
        <w:rPr>
          <w:sz w:val="26"/>
          <w:szCs w:val="26"/>
          <w:lang w:eastAsia="ar-SA"/>
        </w:rPr>
      </w:r>
    </w:p>
    <w:p>
      <w:pPr>
        <w:pStyle w:val="ConsPlusNormal1"/>
        <w:spacing w:lineRule="atLeast" w:line="20"/>
        <w:ind w:firstLine="709"/>
        <w:jc w:val="both"/>
        <w:rPr>
          <w:rFonts w:ascii="Times New Roman" w:hAnsi="Times New Roman" w:cs="Times New Roman"/>
          <w:sz w:val="26"/>
          <w:szCs w:val="26"/>
        </w:rPr>
      </w:pPr>
      <w:r>
        <w:rPr>
          <w:rFonts w:cs="Times New Roman" w:ascii="Times New Roman" w:hAnsi="Times New Roman"/>
          <w:sz w:val="26"/>
          <w:szCs w:val="26"/>
        </w:rPr>
        <w:t>1. Признать жалобу ООО «Технологии доступа» обоснованной.</w:t>
      </w:r>
    </w:p>
    <w:p>
      <w:pPr>
        <w:pStyle w:val="ConsPlusNormal1"/>
        <w:spacing w:lineRule="atLeast" w:line="20"/>
        <w:ind w:firstLine="709"/>
        <w:jc w:val="both"/>
        <w:rPr>
          <w:rFonts w:ascii="Times New Roman" w:hAnsi="Times New Roman" w:cs="Times New Roman"/>
          <w:sz w:val="26"/>
          <w:szCs w:val="26"/>
        </w:rPr>
      </w:pPr>
      <w:r>
        <w:rPr>
          <w:rFonts w:cs="Times New Roman" w:ascii="Times New Roman" w:hAnsi="Times New Roman"/>
          <w:sz w:val="26"/>
          <w:szCs w:val="26"/>
        </w:rPr>
        <w:t>2. Признать в действиях Заказчика нарушение пункта 1 части 1 статьи 33</w:t>
      </w:r>
      <w:bookmarkStart w:id="1" w:name="_Hlk202971207"/>
      <w:r>
        <w:rPr>
          <w:rFonts w:cs="Times New Roman" w:ascii="Times New Roman" w:hAnsi="Times New Roman"/>
          <w:sz w:val="26"/>
          <w:szCs w:val="26"/>
        </w:rPr>
        <w:t>, части 2 статьи 8 Закона о контрактной системе</w:t>
      </w:r>
      <w:bookmarkEnd w:id="1"/>
      <w:r>
        <w:rPr>
          <w:rFonts w:cs="Times New Roman" w:ascii="Times New Roman" w:hAnsi="Times New Roman"/>
          <w:sz w:val="26"/>
          <w:szCs w:val="26"/>
        </w:rPr>
        <w:t>.</w:t>
      </w:r>
    </w:p>
    <w:p>
      <w:pPr>
        <w:pStyle w:val="Normal"/>
        <w:widowControl w:val="false"/>
        <w:tabs>
          <w:tab w:val="clear" w:pos="708"/>
          <w:tab w:val="left" w:pos="5670" w:leader="none"/>
          <w:tab w:val="left" w:pos="6369" w:leader="none"/>
        </w:tabs>
        <w:spacing w:lineRule="atLeast" w:line="20" w:before="0" w:after="0"/>
        <w:ind w:firstLine="709"/>
        <w:jc w:val="both"/>
        <w:rPr>
          <w:rFonts w:ascii="Times New Roman" w:hAnsi="Times New Roman" w:cs="Times New Roman"/>
          <w:sz w:val="26"/>
          <w:szCs w:val="26"/>
        </w:rPr>
      </w:pPr>
      <w:r>
        <w:rPr>
          <w:rFonts w:cs="Times New Roman" w:ascii="Times New Roman" w:hAnsi="Times New Roman"/>
          <w:sz w:val="26"/>
          <w:szCs w:val="26"/>
        </w:rPr>
        <w:t>3. Выдать Заказчику, Конкурсной комиссии, Оператору электронной площадки выдать обязательное для исполнения предписание об устранении нарушений законодательства о контрактной системе.</w:t>
      </w:r>
    </w:p>
    <w:p>
      <w:pPr>
        <w:pStyle w:val="Normal"/>
        <w:widowControl w:val="false"/>
        <w:tabs>
          <w:tab w:val="clear" w:pos="708"/>
          <w:tab w:val="left" w:pos="5670" w:leader="none"/>
          <w:tab w:val="left" w:pos="6369" w:leader="none"/>
        </w:tabs>
        <w:spacing w:lineRule="atLeast" w:line="2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4. Передать материалы дела соответствующему должностному лицу Самарского УФАС России для рассмотрения вопроса о возбуждении дела об административном правонарушении.</w:t>
      </w:r>
    </w:p>
    <w:p>
      <w:pPr>
        <w:pStyle w:val="Normal"/>
        <w:widowControl w:val="false"/>
        <w:tabs>
          <w:tab w:val="clear" w:pos="708"/>
          <w:tab w:val="left" w:pos="5670" w:leader="none"/>
          <w:tab w:val="left" w:pos="6369" w:leader="none"/>
        </w:tabs>
        <w:spacing w:lineRule="atLeast" w:line="20" w:before="0" w:after="0"/>
        <w:jc w:val="both"/>
        <w:rPr>
          <w:rFonts w:ascii="Times New Roman" w:hAnsi="Times New Roman" w:eastAsia="Arial" w:cs="Times New Roman"/>
          <w:sz w:val="26"/>
          <w:szCs w:val="26"/>
          <w:lang w:eastAsia="ar-SA"/>
        </w:rPr>
      </w:pPr>
      <w:r>
        <w:rPr>
          <w:rFonts w:eastAsia="Arial" w:cs="Times New Roman" w:ascii="Times New Roman" w:hAnsi="Times New Roman"/>
          <w:sz w:val="26"/>
          <w:szCs w:val="26"/>
          <w:lang w:eastAsia="ar-SA"/>
        </w:rPr>
      </w:r>
    </w:p>
    <w:p>
      <w:pPr>
        <w:pStyle w:val="ConsPlusNormal1"/>
        <w:spacing w:lineRule="atLeast" w:line="20"/>
        <w:ind w:firstLine="709"/>
        <w:jc w:val="both"/>
        <w:rPr>
          <w:rFonts w:ascii="Times New Roman" w:hAnsi="Times New Roman" w:cs="Times New Roman"/>
          <w:color w:val="000000"/>
          <w:sz w:val="26"/>
          <w:szCs w:val="26"/>
        </w:rPr>
      </w:pPr>
      <w:r>
        <w:rPr>
          <w:rFonts w:cs="Times New Roman" w:ascii="Times New Roman" w:hAnsi="Times New Roman"/>
          <w:color w:val="000000"/>
          <w:sz w:val="26"/>
          <w:szCs w:val="26"/>
        </w:rPr>
        <w:t>Настоящее решение может быть обжаловано в судебном порядке в течение трех месяцев с даты его принятия.</w:t>
      </w:r>
    </w:p>
    <w:p>
      <w:pPr>
        <w:pStyle w:val="ConsPlusNormal1"/>
        <w:spacing w:lineRule="atLeast" w:line="20"/>
        <w:ind w:firstLine="709"/>
        <w:jc w:val="both"/>
        <w:rPr>
          <w:rFonts w:ascii="Times New Roman" w:hAnsi="Times New Roman" w:cs="Times New Roman"/>
          <w:color w:val="000000"/>
          <w:sz w:val="26"/>
          <w:szCs w:val="26"/>
        </w:rPr>
      </w:pPr>
      <w:r>
        <w:rPr/>
      </w:r>
    </w:p>
    <w:sectPr>
      <w:headerReference w:type="even" r:id="rId2"/>
      <w:headerReference w:type="default" r:id="rId3"/>
      <w:headerReference w:type="first" r:id="rId4"/>
      <w:type w:val="nextPage"/>
      <w:pgSz w:w="11906" w:h="16838"/>
      <w:pgMar w:left="1134" w:right="567" w:gutter="0" w:header="709" w:top="1134" w:footer="0" w:bottom="1134"/>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Arial">
    <w:charset w:val="cc"/>
    <w:family w:val="swiss"/>
    <w:pitch w:val="variable"/>
  </w:font>
  <w:font w:name="Segoe UI">
    <w:charset w:val="cc"/>
    <w:family w:val="swiss"/>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961992958"/>
    </w:sdtPr>
    <w:sdtContent>
      <w:p>
        <w:pPr>
          <w:pStyle w:val="Header"/>
          <w:jc w:val="center"/>
          <w:rPr/>
        </w:pPr>
        <w:r>
          <w:rPr/>
          <w:fldChar w:fldCharType="begin"/>
        </w:r>
        <w:r>
          <w:rPr/>
          <w:instrText xml:space="preserve"> PAGE </w:instrText>
        </w:r>
        <w:r>
          <w:rPr/>
          <w:fldChar w:fldCharType="separate"/>
        </w:r>
        <w:r>
          <w:rPr/>
          <w:t>4</w:t>
        </w:r>
        <w:r>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ascii="Calibri" w:hAnsi="Calibri" w:eastAsia="Times New Roman" w:cs="Times New Roman"/>
      </w:rPr>
    </w:lvl>
    <w:lvl w:ilvl="1">
      <w:start w:val="1"/>
      <w:numFmt w:val="none"/>
      <w:suff w:val="nothing"/>
      <w:lvlText w:val=""/>
      <w:lvlJc w:val="left"/>
      <w:pPr>
        <w:tabs>
          <w:tab w:val="num" w:pos="0"/>
        </w:tabs>
        <w:ind w:left="0" w:hanging="0"/>
      </w:pPr>
      <w:rPr>
        <w:rFonts w:cs="Courier New"/>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qFormat/>
    <w:rsid w:val="00c73ac3"/>
    <w:pPr>
      <w:keepNext w:val="true"/>
      <w:numPr>
        <w:ilvl w:val="0"/>
        <w:numId w:val="1"/>
      </w:numPr>
      <w:tabs>
        <w:tab w:val="clear" w:pos="708"/>
        <w:tab w:val="left" w:pos="0" w:leader="none"/>
      </w:tabs>
      <w:spacing w:lineRule="auto" w:line="240" w:before="0" w:after="0"/>
      <w:ind w:left="5040"/>
      <w:outlineLvl w:val="0"/>
    </w:pPr>
    <w:rPr>
      <w:rFonts w:ascii="Times New Roman" w:hAnsi="Times New Roman" w:eastAsia="Times New Roman" w:cs="Times New Roman"/>
      <w:sz w:val="28"/>
      <w:szCs w:val="24"/>
      <w:lang w:eastAsia="ar-SA"/>
    </w:rPr>
  </w:style>
  <w:style w:type="paragraph" w:styleId="Heading2">
    <w:name w:val="heading 2"/>
    <w:basedOn w:val="Normal"/>
    <w:next w:val="BodyText"/>
    <w:link w:val="2"/>
    <w:semiHidden/>
    <w:unhideWhenUsed/>
    <w:qFormat/>
    <w:rsid w:val="00c73ac3"/>
    <w:pPr>
      <w:keepNext w:val="true"/>
      <w:numPr>
        <w:ilvl w:val="1"/>
        <w:numId w:val="1"/>
      </w:numPr>
      <w:spacing w:lineRule="auto" w:line="240" w:before="240" w:after="120"/>
      <w:outlineLvl w:val="1"/>
    </w:pPr>
    <w:rPr>
      <w:rFonts w:ascii="Times New Roman" w:hAnsi="Times New Roman" w:eastAsia="Lucida Sans Unicode" w:cs="Tahoma"/>
      <w:b/>
      <w:bCs/>
      <w:i/>
      <w:iCs/>
      <w:sz w:val="28"/>
      <w:szCs w:val="28"/>
      <w:lang w:val="en-US" w:eastAsia="ar-SA"/>
    </w:rPr>
  </w:style>
  <w:style w:type="character" w:styleId="DefaultParagraphFont" w:default="1">
    <w:name w:val="Default Paragraph Font"/>
    <w:uiPriority w:val="1"/>
    <w:semiHidden/>
    <w:unhideWhenUsed/>
    <w:qFormat/>
    <w:rPr/>
  </w:style>
  <w:style w:type="character" w:styleId="HTML" w:customStyle="1">
    <w:name w:val="Стандартный HTML Знак"/>
    <w:basedOn w:val="DefaultParagraphFont"/>
    <w:link w:val="HTMLPreformatted"/>
    <w:uiPriority w:val="99"/>
    <w:semiHidden/>
    <w:qFormat/>
    <w:rsid w:val="00c73ac3"/>
    <w:rPr>
      <w:rFonts w:ascii="Courier New" w:hAnsi="Courier New" w:eastAsia="Times New Roman" w:cs="Courier New"/>
      <w:sz w:val="20"/>
      <w:szCs w:val="20"/>
      <w:lang w:eastAsia="ru-RU"/>
    </w:rPr>
  </w:style>
  <w:style w:type="character" w:styleId="1" w:customStyle="1">
    <w:name w:val="Заголовок 1 Знак"/>
    <w:basedOn w:val="DefaultParagraphFont"/>
    <w:qFormat/>
    <w:rsid w:val="00c73ac3"/>
    <w:rPr>
      <w:rFonts w:ascii="Times New Roman" w:hAnsi="Times New Roman" w:eastAsia="Times New Roman" w:cs="Times New Roman"/>
      <w:sz w:val="28"/>
      <w:szCs w:val="24"/>
      <w:lang w:eastAsia="ar-SA"/>
    </w:rPr>
  </w:style>
  <w:style w:type="character" w:styleId="2" w:customStyle="1">
    <w:name w:val="Заголовок 2 Знак"/>
    <w:basedOn w:val="DefaultParagraphFont"/>
    <w:semiHidden/>
    <w:qFormat/>
    <w:rsid w:val="00c73ac3"/>
    <w:rPr>
      <w:rFonts w:ascii="Times New Roman" w:hAnsi="Times New Roman" w:eastAsia="Lucida Sans Unicode" w:cs="Tahoma"/>
      <w:b/>
      <w:bCs/>
      <w:i/>
      <w:iCs/>
      <w:sz w:val="28"/>
      <w:szCs w:val="28"/>
      <w:lang w:val="en-US" w:eastAsia="ar-SA"/>
    </w:rPr>
  </w:style>
  <w:style w:type="character" w:styleId="Hyperlink">
    <w:name w:val="Hyperlink"/>
    <w:basedOn w:val="DefaultParagraphFont"/>
    <w:uiPriority w:val="99"/>
    <w:unhideWhenUsed/>
    <w:rsid w:val="00c73ac3"/>
    <w:rPr>
      <w:color w:themeColor="hyperlink" w:val="0563C1"/>
      <w:u w:val="single"/>
    </w:rPr>
  </w:style>
  <w:style w:type="character" w:styleId="ConsPlusNormal" w:customStyle="1">
    <w:name w:val="ConsPlusNormal Знак"/>
    <w:link w:val="ConsPlusNormal1"/>
    <w:qFormat/>
    <w:locked/>
    <w:rsid w:val="00c73ac3"/>
    <w:rPr>
      <w:rFonts w:ascii="Arial" w:hAnsi="Arial" w:eastAsia="Arial" w:cs="Arial"/>
      <w:lang w:eastAsia="ar-SA"/>
    </w:rPr>
  </w:style>
  <w:style w:type="character" w:styleId="Style12" w:customStyle="1">
    <w:name w:val="Основной текст Знак"/>
    <w:basedOn w:val="DefaultParagraphFont"/>
    <w:uiPriority w:val="99"/>
    <w:semiHidden/>
    <w:qFormat/>
    <w:rsid w:val="00c73ac3"/>
    <w:rPr/>
  </w:style>
  <w:style w:type="character" w:styleId="UnresolvedMention">
    <w:name w:val="Unresolved Mention"/>
    <w:basedOn w:val="DefaultParagraphFont"/>
    <w:uiPriority w:val="99"/>
    <w:semiHidden/>
    <w:unhideWhenUsed/>
    <w:qFormat/>
    <w:rsid w:val="0096358a"/>
    <w:rPr>
      <w:color w:val="605E5C"/>
      <w:shd w:fill="E1DFDD" w:val="clear"/>
    </w:rPr>
  </w:style>
  <w:style w:type="character" w:styleId="Style13" w:customStyle="1">
    <w:name w:val="Верхний колонтитул Знак"/>
    <w:basedOn w:val="DefaultParagraphFont"/>
    <w:uiPriority w:val="99"/>
    <w:qFormat/>
    <w:rsid w:val="00046202"/>
    <w:rPr/>
  </w:style>
  <w:style w:type="character" w:styleId="Style14" w:customStyle="1">
    <w:name w:val="Нижний колонтитул Знак"/>
    <w:basedOn w:val="DefaultParagraphFont"/>
    <w:uiPriority w:val="99"/>
    <w:qFormat/>
    <w:rsid w:val="00046202"/>
    <w:rPr/>
  </w:style>
  <w:style w:type="character" w:styleId="Style15" w:customStyle="1">
    <w:name w:val="Текст выноски Знак"/>
    <w:basedOn w:val="DefaultParagraphFont"/>
    <w:link w:val="BalloonText"/>
    <w:uiPriority w:val="99"/>
    <w:semiHidden/>
    <w:qFormat/>
    <w:rsid w:val="00d71970"/>
    <w:rPr>
      <w:rFonts w:ascii="Segoe UI" w:hAnsi="Segoe UI" w:cs="Segoe UI"/>
      <w:sz w:val="18"/>
      <w:szCs w:val="18"/>
    </w:rPr>
  </w:style>
  <w:style w:type="character" w:styleId="Style16">
    <w:name w:val="Символ сноски"/>
    <w:qFormat/>
    <w:rPr>
      <w:vertAlign w:val="superscript"/>
    </w:rPr>
  </w:style>
  <w:style w:type="character" w:styleId="user">
    <w:name w:val="Символ сноски (user)"/>
    <w:qFormat/>
    <w:rPr>
      <w:vertAlign w:val="superscript"/>
    </w:rPr>
  </w:style>
  <w:style w:type="character" w:styleId="FootnoteReference">
    <w:name w:val="footnote reference"/>
    <w:rPr>
      <w:vertAlign w:val="superscript"/>
    </w:rPr>
  </w:style>
  <w:style w:type="paragraph" w:styleId="Style17" w:customStyle="1">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Style12"/>
    <w:uiPriority w:val="99"/>
    <w:semiHidden/>
    <w:unhideWhenUsed/>
    <w:rsid w:val="00c73ac3"/>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8" w:customStyle="1">
    <w:name w:val="Указатель"/>
    <w:basedOn w:val="Normal"/>
    <w:qFormat/>
    <w:pPr>
      <w:suppressLineNumbers/>
    </w:pPr>
    <w:rPr>
      <w:rFonts w:cs="Lucida Sans"/>
    </w:rPr>
  </w:style>
  <w:style w:type="paragraph" w:styleId="user1">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2">
    <w:name w:val="Указатель (user)"/>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IndexHeading">
    <w:name w:val="index heading"/>
    <w:basedOn w:val="Normal"/>
    <w:qFormat/>
    <w:pPr>
      <w:suppressLineNumbers/>
    </w:pPr>
    <w:rPr>
      <w:rFonts w:cs="Lucida Sans"/>
    </w:rPr>
  </w:style>
  <w:style w:type="paragraph" w:styleId="HTMLPreformatted">
    <w:name w:val="HTML Preformatted"/>
    <w:basedOn w:val="Normal"/>
    <w:link w:val="HTML"/>
    <w:uiPriority w:val="99"/>
    <w:semiHidden/>
    <w:unhideWhenUsed/>
    <w:qFormat/>
    <w:rsid w:val="00c73ac3"/>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u-RU"/>
    </w:rPr>
  </w:style>
  <w:style w:type="paragraph" w:styleId="ConsPlusNormal1" w:customStyle="1">
    <w:name w:val="ConsPlusNormal"/>
    <w:link w:val="ConsPlusNormal"/>
    <w:qFormat/>
    <w:rsid w:val="00c73ac3"/>
    <w:pPr>
      <w:widowControl/>
      <w:suppressAutoHyphens w:val="true"/>
      <w:bidi w:val="0"/>
      <w:spacing w:before="0" w:after="0"/>
      <w:ind w:firstLine="720"/>
      <w:jc w:val="left"/>
    </w:pPr>
    <w:rPr>
      <w:rFonts w:ascii="Arial" w:hAnsi="Arial" w:eastAsia="Arial" w:cs="Arial"/>
      <w:color w:val="auto"/>
      <w:kern w:val="0"/>
      <w:sz w:val="22"/>
      <w:szCs w:val="22"/>
      <w:lang w:val="ru-RU" w:eastAsia="ar-SA" w:bidi="ar-SA"/>
    </w:rPr>
  </w:style>
  <w:style w:type="paragraph" w:styleId="parametervalue" w:customStyle="1">
    <w:name w:val="parametervalue"/>
    <w:basedOn w:val="Normal"/>
    <w:qFormat/>
    <w:rsid w:val="00c73ac3"/>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99"/>
    <w:qFormat/>
    <w:rsid w:val="00c73ac3"/>
    <w:pPr>
      <w:spacing w:lineRule="auto" w:line="240" w:before="0" w:after="0"/>
      <w:ind w:left="720"/>
    </w:pPr>
    <w:rPr>
      <w:rFonts w:ascii="Calibri" w:hAnsi="Calibri" w:eastAsia="Times New Roman" w:cs="Calibri"/>
      <w:lang w:eastAsia="ru-RU"/>
    </w:rPr>
  </w:style>
  <w:style w:type="paragraph" w:styleId="Style19" w:customStyle="1">
    <w:name w:val="Колонтитулы"/>
    <w:basedOn w:val="Normal"/>
    <w:qFormat/>
    <w:pPr/>
    <w:rPr/>
  </w:style>
  <w:style w:type="paragraph" w:styleId="user3">
    <w:name w:val="Колонтитулы (user)"/>
    <w:basedOn w:val="Normal"/>
    <w:qFormat/>
    <w:pPr/>
    <w:rPr/>
  </w:style>
  <w:style w:type="paragraph" w:styleId="Header">
    <w:name w:val="header"/>
    <w:basedOn w:val="Normal"/>
    <w:link w:val="Style13"/>
    <w:uiPriority w:val="99"/>
    <w:unhideWhenUsed/>
    <w:rsid w:val="00046202"/>
    <w:pPr>
      <w:tabs>
        <w:tab w:val="clear" w:pos="708"/>
        <w:tab w:val="center" w:pos="4677" w:leader="none"/>
        <w:tab w:val="right" w:pos="9355" w:leader="none"/>
      </w:tabs>
      <w:spacing w:lineRule="auto" w:line="240" w:before="0" w:after="0"/>
    </w:pPr>
    <w:rPr/>
  </w:style>
  <w:style w:type="paragraph" w:styleId="Footer">
    <w:name w:val="footer"/>
    <w:basedOn w:val="Normal"/>
    <w:link w:val="Style14"/>
    <w:uiPriority w:val="99"/>
    <w:unhideWhenUsed/>
    <w:rsid w:val="00046202"/>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5"/>
    <w:uiPriority w:val="99"/>
    <w:semiHidden/>
    <w:unhideWhenUsed/>
    <w:qFormat/>
    <w:rsid w:val="00d71970"/>
    <w:pPr>
      <w:spacing w:lineRule="auto" w:line="240" w:before="0" w:after="0"/>
    </w:pPr>
    <w:rPr>
      <w:rFonts w:ascii="Segoe UI" w:hAnsi="Segoe UI" w:cs="Segoe UI"/>
      <w:sz w:val="18"/>
      <w:szCs w:val="18"/>
    </w:rPr>
  </w:style>
  <w:style w:type="paragraph" w:styleId="Style20" w:customStyle="1">
    <w:name w:val="Содержимое врезки"/>
    <w:basedOn w:val="Normal"/>
    <w:qFormat/>
    <w:pPr/>
    <w:rPr/>
  </w:style>
  <w:style w:type="paragraph" w:styleId="user4" w:customStyle="1">
    <w:name w:val="Содержимое врезки (user)"/>
    <w:basedOn w:val="Normal"/>
    <w:qFormat/>
    <w:pPr/>
    <w:rPr/>
  </w:style>
  <w:style w:type="paragraph" w:styleId="FootnoteText">
    <w:name w:val="footnote text"/>
    <w:basedOn w:val="Normal"/>
    <w:pPr>
      <w:suppressLineNumbers/>
      <w:ind w:hanging="340" w:left="340"/>
    </w:pPr>
    <w:rPr>
      <w:sz w:val="20"/>
      <w:szCs w:val="20"/>
    </w:rPr>
  </w:style>
  <w:style w:type="numbering" w:styleId="Style21" w:default="1">
    <w:name w:val="Без списка"/>
    <w:uiPriority w:val="99"/>
    <w:semiHidden/>
    <w:unhideWhenUsed/>
    <w:qFormat/>
  </w:style>
  <w:style w:type="numbering" w:styleId="user5" w:customStyle="1">
    <w:name w:val="Без списка (user)"/>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4">
    <w:name w:val="Table Grid"/>
    <w:basedOn w:val="a2"/>
    <w:uiPriority w:val="39"/>
    <w:rsid w:val="00c73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288</TotalTime>
  <Application>LibreOffice/25.2.5.2$Windows_X86_64 LibreOffice_project/03d19516eb2e1dd5d4ccd751a0d6f35f35e08022</Application>
  <AppVersion>15.0000</AppVersion>
  <Pages>4</Pages>
  <Words>1302</Words>
  <Characters>9496</Characters>
  <CharactersWithSpaces>10884</CharactersWithSpaces>
  <Paragraphs>45</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2023-03-28T12:21:00Z</dcterms:created>
  <dc:creator>Столбова Анна Николаевна</dc:creator>
  <dc:description/>
  <dc:language>ru-RU</dc:language>
  <cp:lastModifiedBy/>
  <cp:lastPrinted>2025-06-23T13:19:00Z</cp:lastPrinted>
  <dcterms:modified xsi:type="dcterms:W3CDTF">2025-09-12T13:20:22Z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file>