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907" w:rsidRDefault="00984907" w:rsidP="00984907">
      <w:pPr>
        <w:pStyle w:val="a4"/>
        <w:spacing w:before="0" w:beforeAutospacing="0" w:after="0"/>
        <w:jc w:val="right"/>
        <w:rPr>
          <w:b/>
          <w:bCs/>
          <w:color w:val="000000"/>
          <w:sz w:val="26"/>
          <w:szCs w:val="26"/>
        </w:rPr>
      </w:pPr>
      <w:r w:rsidRPr="00984907">
        <w:rPr>
          <w:b/>
          <w:bCs/>
          <w:color w:val="000000"/>
          <w:sz w:val="26"/>
          <w:szCs w:val="26"/>
        </w:rPr>
        <w:t>НВ/5339/25</w:t>
      </w:r>
      <w:r>
        <w:rPr>
          <w:b/>
          <w:bCs/>
          <w:color w:val="000000"/>
          <w:sz w:val="26"/>
          <w:szCs w:val="26"/>
        </w:rPr>
        <w:t xml:space="preserve"> от 09.09.2025</w:t>
      </w:r>
      <w:bookmarkStart w:id="0" w:name="_GoBack"/>
      <w:bookmarkEnd w:id="0"/>
    </w:p>
    <w:p w:rsidR="00984907" w:rsidRDefault="00984907" w:rsidP="00984907">
      <w:pPr>
        <w:pStyle w:val="a4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РЕШЕНИЕ</w:t>
      </w:r>
    </w:p>
    <w:p w:rsidR="00984907" w:rsidRDefault="00984907" w:rsidP="00984907">
      <w:pPr>
        <w:pStyle w:val="a4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по результатам рассмотрения жалобы</w:t>
      </w:r>
    </w:p>
    <w:p w:rsidR="00984907" w:rsidRDefault="00984907" w:rsidP="00984907">
      <w:pPr>
        <w:pStyle w:val="a4"/>
        <w:spacing w:before="0" w:beforeAutospacing="0" w:after="0"/>
        <w:jc w:val="center"/>
      </w:pPr>
      <w:r>
        <w:rPr>
          <w:b/>
          <w:bCs/>
          <w:color w:val="000000"/>
          <w:sz w:val="26"/>
          <w:szCs w:val="26"/>
        </w:rPr>
        <w:t>ООО "</w:t>
      </w:r>
      <w:proofErr w:type="spellStart"/>
      <w:r>
        <w:rPr>
          <w:b/>
          <w:bCs/>
          <w:color w:val="000000"/>
          <w:sz w:val="26"/>
          <w:szCs w:val="26"/>
        </w:rPr>
        <w:t>ФармГрупп</w:t>
      </w:r>
      <w:proofErr w:type="spellEnd"/>
      <w:r>
        <w:rPr>
          <w:b/>
          <w:bCs/>
          <w:color w:val="000000"/>
          <w:sz w:val="26"/>
          <w:szCs w:val="26"/>
        </w:rPr>
        <w:t>"</w:t>
      </w:r>
    </w:p>
    <w:p w:rsidR="00984907" w:rsidRDefault="00984907" w:rsidP="00984907">
      <w:pPr>
        <w:pStyle w:val="a4"/>
        <w:spacing w:before="0" w:beforeAutospacing="0" w:after="0"/>
        <w:jc w:val="both"/>
      </w:pPr>
    </w:p>
    <w:p w:rsidR="00984907" w:rsidRDefault="00984907" w:rsidP="00984907">
      <w:pPr>
        <w:pStyle w:val="a4"/>
        <w:spacing w:before="0" w:beforeAutospacing="0" w:after="0"/>
        <w:jc w:val="both"/>
      </w:pPr>
      <w:r>
        <w:rPr>
          <w:b/>
          <w:bCs/>
          <w:color w:val="000000"/>
          <w:sz w:val="26"/>
          <w:szCs w:val="26"/>
        </w:rPr>
        <w:t>Дело № 021/06/4</w:t>
      </w:r>
      <w:r w:rsidRPr="00984907">
        <w:rPr>
          <w:b/>
          <w:bCs/>
          <w:color w:val="000000"/>
          <w:sz w:val="26"/>
          <w:szCs w:val="26"/>
        </w:rPr>
        <w:t>8</w:t>
      </w:r>
      <w:r>
        <w:rPr>
          <w:b/>
          <w:bCs/>
          <w:color w:val="000000"/>
          <w:sz w:val="26"/>
          <w:szCs w:val="26"/>
        </w:rPr>
        <w:t>-</w:t>
      </w:r>
      <w:r w:rsidRPr="00984907">
        <w:rPr>
          <w:b/>
          <w:bCs/>
          <w:color w:val="000000"/>
          <w:sz w:val="26"/>
          <w:szCs w:val="26"/>
        </w:rPr>
        <w:t>822</w:t>
      </w:r>
      <w:r>
        <w:rPr>
          <w:b/>
          <w:bCs/>
          <w:color w:val="000000"/>
          <w:sz w:val="26"/>
          <w:szCs w:val="26"/>
        </w:rPr>
        <w:t xml:space="preserve">/2025 </w:t>
      </w:r>
      <w:r>
        <w:rPr>
          <w:b/>
          <w:bCs/>
          <w:color w:val="000000"/>
          <w:sz w:val="26"/>
          <w:szCs w:val="26"/>
        </w:rPr>
        <w:t xml:space="preserve">                                       </w:t>
      </w:r>
      <w:r>
        <w:rPr>
          <w:b/>
          <w:bCs/>
          <w:color w:val="000000"/>
          <w:sz w:val="26"/>
          <w:szCs w:val="26"/>
        </w:rPr>
        <w:t>г. Чебоксары</w:t>
      </w:r>
    </w:p>
    <w:p w:rsidR="00984907" w:rsidRDefault="00984907" w:rsidP="00984907">
      <w:pPr>
        <w:pStyle w:val="a4"/>
        <w:spacing w:before="0" w:beforeAutospacing="0" w:after="0"/>
        <w:jc w:val="both"/>
      </w:pP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Резолютивная часть решения оглашена</w:t>
      </w:r>
      <w:r w:rsidRPr="009849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0</w:t>
      </w:r>
      <w:r w:rsidRPr="00984907">
        <w:rPr>
          <w:color w:val="000000"/>
          <w:sz w:val="26"/>
          <w:szCs w:val="26"/>
        </w:rPr>
        <w:t xml:space="preserve">9 </w:t>
      </w:r>
      <w:r>
        <w:rPr>
          <w:color w:val="000000"/>
          <w:sz w:val="26"/>
          <w:szCs w:val="26"/>
        </w:rPr>
        <w:t xml:space="preserve">сентября 2025 года 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Решение изготовлено в полном объеме 0</w:t>
      </w:r>
      <w:r w:rsidRPr="00984907">
        <w:rPr>
          <w:color w:val="000000"/>
          <w:sz w:val="26"/>
          <w:szCs w:val="26"/>
        </w:rPr>
        <w:t xml:space="preserve">9 </w:t>
      </w:r>
      <w:r>
        <w:rPr>
          <w:color w:val="000000"/>
          <w:sz w:val="26"/>
          <w:szCs w:val="26"/>
        </w:rPr>
        <w:t>сентября 2025 года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10.02.2023 №9 в составе:</w:t>
      </w:r>
    </w:p>
    <w:p w:rsidR="00984907" w:rsidRPr="00984907" w:rsidRDefault="00984907" w:rsidP="00984907">
      <w:pPr>
        <w:pStyle w:val="a4"/>
        <w:spacing w:after="0"/>
        <w:ind w:firstLine="709"/>
      </w:pPr>
      <w:r w:rsidRPr="00984907">
        <w:t>&lt;…&gt;</w:t>
      </w:r>
    </w:p>
    <w:p w:rsidR="00984907" w:rsidRPr="00984907" w:rsidRDefault="00984907" w:rsidP="00984907">
      <w:pPr>
        <w:pStyle w:val="a4"/>
        <w:spacing w:after="0"/>
        <w:ind w:firstLine="709"/>
      </w:pPr>
      <w:r>
        <w:rPr>
          <w:color w:val="000000"/>
          <w:sz w:val="26"/>
          <w:szCs w:val="26"/>
          <w:shd w:val="clear" w:color="auto" w:fill="FFFFFF"/>
        </w:rPr>
        <w:t xml:space="preserve">заказчика – </w:t>
      </w:r>
      <w:r w:rsidRPr="00984907">
        <w:rPr>
          <w:color w:val="000000"/>
          <w:sz w:val="26"/>
          <w:szCs w:val="26"/>
          <w:shd w:val="clear" w:color="auto" w:fill="FFFFFF"/>
        </w:rPr>
        <w:t>Бюджетное учреждение Чувашской Республики «Республиканский кардиологический диспансер» Министерства здравоохранения Чувашской Республики</w:t>
      </w:r>
      <w:r>
        <w:rPr>
          <w:color w:val="000000"/>
          <w:sz w:val="26"/>
          <w:szCs w:val="26"/>
          <w:shd w:val="clear" w:color="auto" w:fill="FFFFFF"/>
        </w:rPr>
        <w:t xml:space="preserve"> (далее —</w:t>
      </w:r>
      <w:r>
        <w:rPr>
          <w:color w:val="000000"/>
          <w:sz w:val="26"/>
          <w:szCs w:val="26"/>
        </w:rPr>
        <w:t xml:space="preserve"> Заказчик) – </w:t>
      </w:r>
      <w:r w:rsidRPr="00984907">
        <w:t>&lt;…&gt;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Pr="00984907" w:rsidRDefault="00984907" w:rsidP="00984907">
      <w:pPr>
        <w:pStyle w:val="a4"/>
        <w:spacing w:after="0"/>
        <w:ind w:firstLine="709"/>
      </w:pPr>
      <w:r>
        <w:rPr>
          <w:color w:val="000000"/>
          <w:sz w:val="26"/>
          <w:szCs w:val="26"/>
        </w:rPr>
        <w:t xml:space="preserve">уполномоченного учреждения – казенного учреждения Чувашской Республики «Региональный центр закупок Чувашской Республики» (далее — Уполномоченное учреждение) – </w:t>
      </w:r>
      <w:r w:rsidRPr="00984907">
        <w:t>&lt;…&gt;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,</w:t>
      </w:r>
    </w:p>
    <w:p w:rsidR="00984907" w:rsidRPr="00984907" w:rsidRDefault="00984907" w:rsidP="00984907">
      <w:pPr>
        <w:pStyle w:val="a4"/>
        <w:spacing w:after="0"/>
        <w:ind w:firstLine="709"/>
      </w:pPr>
      <w:r>
        <w:rPr>
          <w:color w:val="000000"/>
          <w:sz w:val="26"/>
          <w:szCs w:val="26"/>
        </w:rPr>
        <w:t>заявителя – ООО «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 xml:space="preserve">», </w:t>
      </w:r>
      <w:r w:rsidRPr="00984907">
        <w:t>&lt;…&gt;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рассмотрев путем видео-конференц-связи жалобу общества с ограниченной ответственностью "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>"</w:t>
      </w:r>
      <w:r>
        <w:rPr>
          <w:color w:val="000000"/>
          <w:sz w:val="26"/>
          <w:szCs w:val="26"/>
          <w:shd w:val="clear" w:color="auto" w:fill="FFFFFF"/>
        </w:rPr>
        <w:t xml:space="preserve">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даее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— Заявитель, Общество, ООО </w:t>
      </w:r>
      <w:r>
        <w:rPr>
          <w:color w:val="000000"/>
          <w:sz w:val="26"/>
          <w:szCs w:val="26"/>
        </w:rPr>
        <w:t>"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>"</w:t>
      </w:r>
      <w:r>
        <w:rPr>
          <w:color w:val="000000"/>
          <w:sz w:val="26"/>
          <w:szCs w:val="26"/>
          <w:shd w:val="clear" w:color="auto" w:fill="FFFFFF"/>
        </w:rPr>
        <w:t>)</w:t>
      </w:r>
      <w:r>
        <w:rPr>
          <w:color w:val="000000"/>
          <w:sz w:val="26"/>
          <w:szCs w:val="26"/>
        </w:rPr>
        <w:t xml:space="preserve"> на действия комиссии заказчика </w:t>
      </w:r>
      <w:r w:rsidRPr="00984907">
        <w:rPr>
          <w:color w:val="000000"/>
          <w:sz w:val="26"/>
          <w:szCs w:val="26"/>
          <w:shd w:val="clear" w:color="auto" w:fill="FFFFFF"/>
        </w:rPr>
        <w:t>Бюджетное учреждение Чувашской Республики «Республиканский кардиологический диспансер» Министерства здравоохранения Чувашской Республики</w:t>
      </w:r>
      <w:r>
        <w:rPr>
          <w:color w:val="000000"/>
          <w:sz w:val="26"/>
          <w:szCs w:val="26"/>
          <w:shd w:val="clear" w:color="auto" w:fill="FFFFFF"/>
        </w:rPr>
        <w:t xml:space="preserve">, (далее - заказчик) </w:t>
      </w:r>
      <w:r>
        <w:rPr>
          <w:color w:val="000000"/>
          <w:sz w:val="26"/>
          <w:szCs w:val="26"/>
        </w:rPr>
        <w:t>при проведении э</w:t>
      </w:r>
      <w:r>
        <w:rPr>
          <w:color w:val="000000"/>
          <w:sz w:val="26"/>
          <w:szCs w:val="26"/>
          <w:shd w:val="clear" w:color="auto" w:fill="FFFFFF"/>
        </w:rPr>
        <w:t xml:space="preserve">лектронного аукциона на поставку расходного материала для </w:t>
      </w:r>
      <w:proofErr w:type="spellStart"/>
      <w:r>
        <w:rPr>
          <w:color w:val="000000"/>
          <w:sz w:val="26"/>
          <w:szCs w:val="26"/>
          <w:shd w:val="clear" w:color="auto" w:fill="FFFFFF"/>
        </w:rPr>
        <w:t>эндоваскулярных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вмешательств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. № 0815500000525011393) </w:t>
      </w:r>
      <w:r>
        <w:rPr>
          <w:color w:val="000000"/>
          <w:sz w:val="26"/>
          <w:szCs w:val="26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Default="00984907" w:rsidP="00984907">
      <w:pPr>
        <w:pStyle w:val="a4"/>
        <w:spacing w:before="0" w:beforeAutospacing="0" w:after="0"/>
        <w:ind w:firstLine="567"/>
        <w:jc w:val="center"/>
      </w:pPr>
      <w:r>
        <w:rPr>
          <w:b/>
          <w:bCs/>
          <w:color w:val="000000"/>
          <w:sz w:val="26"/>
          <w:szCs w:val="26"/>
        </w:rPr>
        <w:t>УСТАНОВИЛА: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 Чувашское УФАС России поступила жалоба ООО "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>"</w:t>
      </w:r>
      <w:r>
        <w:rPr>
          <w:color w:val="000000"/>
          <w:sz w:val="26"/>
          <w:szCs w:val="26"/>
          <w:shd w:val="clear" w:color="auto" w:fill="FFFFFF"/>
        </w:rPr>
        <w:t xml:space="preserve"> на действия комиссии заказчика при проведении электронного аукциона на поставку расходного материала для </w:t>
      </w:r>
      <w:proofErr w:type="spellStart"/>
      <w:r>
        <w:rPr>
          <w:color w:val="000000"/>
          <w:sz w:val="26"/>
          <w:szCs w:val="26"/>
          <w:shd w:val="clear" w:color="auto" w:fill="FFFFFF"/>
        </w:rPr>
        <w:t>эндоваскулярных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вмешательств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. № 0815500000525011393) (размещена в ЕИС 03.09.2025,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вх</w:t>
      </w:r>
      <w:proofErr w:type="spellEnd"/>
      <w:r>
        <w:rPr>
          <w:color w:val="000000"/>
          <w:sz w:val="26"/>
          <w:szCs w:val="26"/>
          <w:shd w:val="clear" w:color="auto" w:fill="FFFFFF"/>
        </w:rPr>
        <w:t>. № 8043-ЭП/25).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Заявитель обжалует действия комиссии Заказчика, выразившиеся в неправомерном отклонении своей заявки.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lastRenderedPageBreak/>
        <w:t>Представители Заказчика и Уполномоченного учреждения с доводами жалобы не согласились просили признать жалобу необоснованной.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i/>
          <w:iCs/>
          <w:color w:val="000000"/>
          <w:sz w:val="26"/>
          <w:szCs w:val="26"/>
        </w:rPr>
        <w:t>В результате рассмотрения жалобы и осуществления, в соответствии с пунктом 1 части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19.08.2025 на официальном сайте Единой информационной системы в сфере закупок www.zakupki.gov.ru размещено извещение № </w:t>
      </w:r>
      <w:r>
        <w:rPr>
          <w:color w:val="000000"/>
          <w:sz w:val="26"/>
          <w:szCs w:val="26"/>
          <w:shd w:val="clear" w:color="auto" w:fill="FFFFFF"/>
        </w:rPr>
        <w:t>0815500000525011393</w:t>
      </w:r>
      <w:r>
        <w:rPr>
          <w:color w:val="000000"/>
          <w:sz w:val="26"/>
          <w:szCs w:val="26"/>
        </w:rPr>
        <w:t xml:space="preserve"> о проведении заказчиком </w:t>
      </w:r>
      <w:r>
        <w:rPr>
          <w:color w:val="000000"/>
          <w:sz w:val="26"/>
          <w:szCs w:val="26"/>
          <w:shd w:val="clear" w:color="auto" w:fill="FFFFFF"/>
        </w:rPr>
        <w:t xml:space="preserve">Бюджетное учреждение Чувашской Республики «Республиканский кардиологический диспансер» Министерства здравоохранения Чувашской Республики электронного аукциона на поставку расходного материала для </w:t>
      </w:r>
      <w:proofErr w:type="spellStart"/>
      <w:r>
        <w:rPr>
          <w:color w:val="000000"/>
          <w:sz w:val="26"/>
          <w:szCs w:val="26"/>
          <w:shd w:val="clear" w:color="auto" w:fill="FFFFFF"/>
        </w:rPr>
        <w:t>эндоваскулярных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вмешательств</w:t>
      </w:r>
      <w:r>
        <w:rPr>
          <w:color w:val="000000"/>
          <w:sz w:val="26"/>
          <w:szCs w:val="26"/>
        </w:rPr>
        <w:t>, с начальной (максимальной) ценой контракта равной 58 000 000,00 руб.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Согласно части 1 статьи 48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Из части 1 статьи 42 Закона о контрактной системе следует,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Согласно подпункту "а"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силу </w:t>
      </w:r>
      <w:hyperlink r:id="rId4" w:history="1">
        <w:r>
          <w:rPr>
            <w:rStyle w:val="a3"/>
            <w:color w:val="0000FF"/>
            <w:sz w:val="26"/>
            <w:szCs w:val="26"/>
            <w:u w:val="none"/>
          </w:rPr>
          <w:t>ч. 12 ст. 48</w:t>
        </w:r>
      </w:hyperlink>
      <w:r>
        <w:rPr>
          <w:sz w:val="26"/>
          <w:szCs w:val="26"/>
        </w:rPr>
        <w:t xml:space="preserve">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1) непредставления (за исключением случаев, предусмотренных настоящим Федеральным </w:t>
      </w:r>
      <w:hyperlink r:id="rId5" w:history="1">
        <w:r>
          <w:rPr>
            <w:rStyle w:val="a3"/>
            <w:color w:val="0000FF"/>
            <w:sz w:val="26"/>
            <w:szCs w:val="26"/>
            <w:u w:val="none"/>
          </w:rPr>
          <w:t>законом</w:t>
        </w:r>
      </w:hyperlink>
      <w:r>
        <w:rPr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hyperlink r:id="rId6" w:history="1">
        <w:r>
          <w:rPr>
            <w:rStyle w:val="a3"/>
            <w:color w:val="0000FF"/>
            <w:sz w:val="26"/>
            <w:szCs w:val="26"/>
            <w:u w:val="none"/>
          </w:rPr>
          <w:t>Законом</w:t>
        </w:r>
      </w:hyperlink>
      <w:r>
        <w:rPr>
          <w:sz w:val="26"/>
          <w:szCs w:val="26"/>
        </w:rPr>
        <w:t xml:space="preserve"> о контрактной системе (за исключением информации и документов, предусмотренных </w:t>
      </w:r>
      <w:hyperlink r:id="rId7" w:history="1">
        <w:r>
          <w:rPr>
            <w:rStyle w:val="a3"/>
            <w:color w:val="0000FF"/>
            <w:sz w:val="26"/>
            <w:szCs w:val="26"/>
            <w:u w:val="none"/>
          </w:rPr>
          <w:t>п. 2</w:t>
        </w:r>
      </w:hyperlink>
      <w:r>
        <w:rPr>
          <w:sz w:val="26"/>
          <w:szCs w:val="26"/>
        </w:rPr>
        <w:t xml:space="preserve"> и </w:t>
      </w:r>
      <w:hyperlink r:id="rId8" w:history="1">
        <w:r>
          <w:rPr>
            <w:rStyle w:val="a3"/>
            <w:color w:val="0000FF"/>
            <w:sz w:val="26"/>
            <w:szCs w:val="26"/>
            <w:u w:val="none"/>
          </w:rPr>
          <w:t>3 ч. 6 ст. 43</w:t>
        </w:r>
      </w:hyperlink>
      <w:r>
        <w:rPr>
          <w:sz w:val="26"/>
          <w:szCs w:val="26"/>
        </w:rPr>
        <w:t xml:space="preserve">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lastRenderedPageBreak/>
        <w:t xml:space="preserve">2) непредставления информации и документов, предусмотренных </w:t>
      </w:r>
      <w:hyperlink r:id="rId9" w:history="1">
        <w:r>
          <w:rPr>
            <w:rStyle w:val="a3"/>
            <w:color w:val="0000FF"/>
            <w:sz w:val="26"/>
            <w:szCs w:val="26"/>
            <w:u w:val="none"/>
          </w:rPr>
          <w:t>п. 2</w:t>
        </w:r>
      </w:hyperlink>
      <w:r>
        <w:rPr>
          <w:sz w:val="26"/>
          <w:szCs w:val="26"/>
        </w:rPr>
        <w:t xml:space="preserve"> и </w:t>
      </w:r>
      <w:hyperlink r:id="rId10" w:history="1">
        <w:r>
          <w:rPr>
            <w:rStyle w:val="a3"/>
            <w:color w:val="0000FF"/>
            <w:sz w:val="26"/>
            <w:szCs w:val="26"/>
            <w:u w:val="none"/>
          </w:rPr>
          <w:t>3 ч. 6 ст. 43</w:t>
        </w:r>
      </w:hyperlink>
      <w:r>
        <w:rPr>
          <w:sz w:val="26"/>
          <w:szCs w:val="26"/>
        </w:rPr>
        <w:t xml:space="preserve">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</w:t>
      </w:r>
      <w:hyperlink r:id="rId11" w:history="1">
        <w:r>
          <w:rPr>
            <w:rStyle w:val="a3"/>
            <w:color w:val="0000FF"/>
            <w:sz w:val="26"/>
            <w:szCs w:val="26"/>
            <w:u w:val="none"/>
          </w:rPr>
          <w:t>ч. 1 ст. 31</w:t>
        </w:r>
      </w:hyperlink>
      <w:r>
        <w:rPr>
          <w:sz w:val="26"/>
          <w:szCs w:val="26"/>
        </w:rPr>
        <w:t xml:space="preserve"> Закона о контрактной системе, требованиям, установленным в извещении об осуществлении закупки в соответствии с </w:t>
      </w:r>
      <w:hyperlink r:id="rId12" w:history="1">
        <w:r>
          <w:rPr>
            <w:rStyle w:val="a3"/>
            <w:color w:val="0000FF"/>
            <w:sz w:val="26"/>
            <w:szCs w:val="26"/>
            <w:u w:val="none"/>
          </w:rPr>
          <w:t>ч. 1.1</w:t>
        </w:r>
      </w:hyperlink>
      <w:r>
        <w:rPr>
          <w:sz w:val="26"/>
          <w:szCs w:val="26"/>
        </w:rPr>
        <w:t xml:space="preserve">, </w:t>
      </w:r>
      <w:hyperlink r:id="rId13" w:history="1">
        <w:r>
          <w:rPr>
            <w:rStyle w:val="a3"/>
            <w:color w:val="0000FF"/>
            <w:sz w:val="26"/>
            <w:szCs w:val="26"/>
            <w:u w:val="none"/>
          </w:rPr>
          <w:t>2</w:t>
        </w:r>
      </w:hyperlink>
      <w:r>
        <w:rPr>
          <w:sz w:val="26"/>
          <w:szCs w:val="26"/>
        </w:rPr>
        <w:t xml:space="preserve"> и </w:t>
      </w:r>
      <w:hyperlink r:id="rId14" w:history="1">
        <w:r>
          <w:rPr>
            <w:rStyle w:val="a3"/>
            <w:color w:val="0000FF"/>
            <w:sz w:val="26"/>
            <w:szCs w:val="26"/>
            <w:u w:val="none"/>
          </w:rPr>
          <w:t>2.1 (при наличии таких требований) ст. 31</w:t>
        </w:r>
      </w:hyperlink>
      <w:r>
        <w:rPr>
          <w:sz w:val="26"/>
          <w:szCs w:val="26"/>
        </w:rPr>
        <w:t xml:space="preserve"> Закона о контрактной системе;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4) предусмотренных </w:t>
      </w:r>
      <w:hyperlink r:id="rId15" w:history="1">
        <w:proofErr w:type="spellStart"/>
        <w:r>
          <w:rPr>
            <w:rStyle w:val="a3"/>
            <w:color w:val="0000FF"/>
            <w:sz w:val="26"/>
            <w:szCs w:val="26"/>
            <w:u w:val="none"/>
          </w:rPr>
          <w:t>пп</w:t>
        </w:r>
        <w:proofErr w:type="spellEnd"/>
        <w:r>
          <w:rPr>
            <w:rStyle w:val="a3"/>
            <w:color w:val="0000FF"/>
            <w:sz w:val="26"/>
            <w:szCs w:val="26"/>
            <w:u w:val="none"/>
          </w:rPr>
          <w:t>. "а" п. 1</w:t>
        </w:r>
      </w:hyperlink>
      <w:r>
        <w:rPr>
          <w:sz w:val="26"/>
          <w:szCs w:val="26"/>
        </w:rPr>
        <w:t xml:space="preserve"> (за исключением случая, предусмотренного </w:t>
      </w:r>
      <w:hyperlink r:id="rId16" w:history="1">
        <w:r>
          <w:rPr>
            <w:rStyle w:val="a3"/>
            <w:color w:val="0000FF"/>
            <w:sz w:val="26"/>
            <w:szCs w:val="26"/>
            <w:u w:val="none"/>
          </w:rPr>
          <w:t>п. 5 ч. 12 ст. 48</w:t>
        </w:r>
      </w:hyperlink>
      <w:r>
        <w:rPr>
          <w:sz w:val="26"/>
          <w:szCs w:val="26"/>
        </w:rPr>
        <w:t xml:space="preserve"> Закона о контрактной системе), </w:t>
      </w:r>
      <w:hyperlink r:id="rId17" w:history="1">
        <w:proofErr w:type="spellStart"/>
        <w:r>
          <w:rPr>
            <w:rStyle w:val="a3"/>
            <w:color w:val="0000FF"/>
            <w:sz w:val="26"/>
            <w:szCs w:val="26"/>
            <w:u w:val="none"/>
          </w:rPr>
          <w:t>пп</w:t>
        </w:r>
        <w:proofErr w:type="spellEnd"/>
        <w:r>
          <w:rPr>
            <w:rStyle w:val="a3"/>
            <w:color w:val="0000FF"/>
            <w:sz w:val="26"/>
            <w:szCs w:val="26"/>
            <w:u w:val="none"/>
          </w:rPr>
          <w:t>. "а" п. 2 ч. 4</w:t>
        </w:r>
      </w:hyperlink>
      <w:r>
        <w:rPr>
          <w:sz w:val="26"/>
          <w:szCs w:val="26"/>
        </w:rPr>
        <w:t xml:space="preserve">, </w:t>
      </w:r>
      <w:hyperlink r:id="rId18" w:history="1">
        <w:proofErr w:type="spellStart"/>
        <w:r>
          <w:rPr>
            <w:rStyle w:val="a3"/>
            <w:color w:val="0000FF"/>
            <w:sz w:val="26"/>
            <w:szCs w:val="26"/>
            <w:u w:val="none"/>
          </w:rPr>
          <w:t>пп</w:t>
        </w:r>
        <w:proofErr w:type="spellEnd"/>
        <w:r>
          <w:rPr>
            <w:rStyle w:val="a3"/>
            <w:color w:val="0000FF"/>
            <w:sz w:val="26"/>
            <w:szCs w:val="26"/>
            <w:u w:val="none"/>
          </w:rPr>
          <w:t>. "а" п. 1</w:t>
        </w:r>
      </w:hyperlink>
      <w:r>
        <w:rPr>
          <w:sz w:val="26"/>
          <w:szCs w:val="26"/>
        </w:rPr>
        <w:t xml:space="preserve"> (за исключением случая, предусмотренного </w:t>
      </w:r>
      <w:hyperlink r:id="rId19" w:history="1">
        <w:r>
          <w:rPr>
            <w:rStyle w:val="a3"/>
            <w:color w:val="0000FF"/>
            <w:sz w:val="26"/>
            <w:szCs w:val="26"/>
            <w:u w:val="none"/>
          </w:rPr>
          <w:t>п. 5 ч. 12 ст. 48</w:t>
        </w:r>
      </w:hyperlink>
      <w:r>
        <w:rPr>
          <w:sz w:val="26"/>
          <w:szCs w:val="26"/>
        </w:rPr>
        <w:t xml:space="preserve"> Закона о контрактной системе), </w:t>
      </w:r>
      <w:hyperlink r:id="rId20" w:history="1">
        <w:r>
          <w:rPr>
            <w:rStyle w:val="a3"/>
            <w:color w:val="0000FF"/>
            <w:sz w:val="26"/>
            <w:szCs w:val="26"/>
            <w:u w:val="none"/>
          </w:rPr>
          <w:t>п. 2 ч. 5 ст. 14</w:t>
        </w:r>
      </w:hyperlink>
      <w:r>
        <w:rPr>
          <w:sz w:val="26"/>
          <w:szCs w:val="26"/>
        </w:rPr>
        <w:t xml:space="preserve"> Закона о контрактной системе;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5) непредставления информации и документов, предусмотренных </w:t>
      </w:r>
      <w:hyperlink r:id="rId21" w:history="1">
        <w:r>
          <w:rPr>
            <w:rStyle w:val="a3"/>
            <w:color w:val="0000FF"/>
            <w:sz w:val="26"/>
            <w:szCs w:val="26"/>
            <w:u w:val="none"/>
          </w:rPr>
          <w:t>п. 5 ч. 1 ст. 43</w:t>
        </w:r>
      </w:hyperlink>
      <w:r>
        <w:rPr>
          <w:sz w:val="26"/>
          <w:szCs w:val="26"/>
        </w:rPr>
        <w:t xml:space="preserve"> Закона о контрактной системе, если такие информация и документы определены в соответствии с </w:t>
      </w:r>
      <w:hyperlink r:id="rId22" w:history="1">
        <w:r>
          <w:rPr>
            <w:rStyle w:val="a3"/>
            <w:color w:val="0000FF"/>
            <w:sz w:val="26"/>
            <w:szCs w:val="26"/>
            <w:u w:val="none"/>
          </w:rPr>
          <w:t>п. 2 ч. 2 ст. 14</w:t>
        </w:r>
      </w:hyperlink>
      <w:r>
        <w:rPr>
          <w:sz w:val="26"/>
          <w:szCs w:val="26"/>
        </w:rPr>
        <w:t xml:space="preserve"> Закона о контрактной системе (в случае установления в соответствии с </w:t>
      </w:r>
      <w:hyperlink r:id="rId23" w:history="1">
        <w:proofErr w:type="spellStart"/>
        <w:r>
          <w:rPr>
            <w:rStyle w:val="a3"/>
            <w:color w:val="0000FF"/>
            <w:sz w:val="26"/>
            <w:szCs w:val="26"/>
            <w:u w:val="none"/>
          </w:rPr>
          <w:t>пп</w:t>
        </w:r>
        <w:proofErr w:type="spellEnd"/>
        <w:r>
          <w:rPr>
            <w:rStyle w:val="a3"/>
            <w:color w:val="0000FF"/>
            <w:sz w:val="26"/>
            <w:szCs w:val="26"/>
            <w:u w:val="none"/>
          </w:rPr>
          <w:t>. "а" п. 1 ч. 2 ст. 14</w:t>
        </w:r>
      </w:hyperlink>
      <w:r>
        <w:rPr>
          <w:sz w:val="26"/>
          <w:szCs w:val="26"/>
        </w:rPr>
        <w:t xml:space="preserve">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6) выявления отнесения участника закупки к организациям, предусмотренным </w:t>
      </w:r>
      <w:hyperlink r:id="rId24" w:history="1">
        <w:r>
          <w:rPr>
            <w:rStyle w:val="a3"/>
            <w:color w:val="0000FF"/>
            <w:sz w:val="26"/>
            <w:szCs w:val="26"/>
            <w:u w:val="none"/>
          </w:rPr>
          <w:t>п. 4 ст. 2</w:t>
        </w:r>
      </w:hyperlink>
      <w:r>
        <w:rPr>
          <w:sz w:val="26"/>
          <w:szCs w:val="26"/>
        </w:rPr>
        <w:t xml:space="preserve"> Федерального закона от 4 июня 2018 года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hyperlink r:id="rId25" w:history="1">
        <w:r>
          <w:rPr>
            <w:rStyle w:val="a3"/>
            <w:color w:val="0000FF"/>
            <w:sz w:val="26"/>
            <w:szCs w:val="26"/>
            <w:u w:val="none"/>
          </w:rPr>
          <w:t>пунктом</w:t>
        </w:r>
      </w:hyperlink>
      <w:r>
        <w:rPr>
          <w:sz w:val="26"/>
          <w:szCs w:val="26"/>
        </w:rPr>
        <w:t>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7) предусмотренных </w:t>
      </w:r>
      <w:hyperlink r:id="rId26" w:history="1">
        <w:r>
          <w:rPr>
            <w:rStyle w:val="a3"/>
            <w:color w:val="0000FF"/>
            <w:sz w:val="26"/>
            <w:szCs w:val="26"/>
            <w:u w:val="none"/>
          </w:rPr>
          <w:t>ч. 6 ст. 45</w:t>
        </w:r>
      </w:hyperlink>
      <w:r>
        <w:rPr>
          <w:sz w:val="26"/>
          <w:szCs w:val="26"/>
        </w:rPr>
        <w:t xml:space="preserve"> Закона о контрактной системе;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9) указания информации о предложении участника закупки, предусмотренном </w:t>
      </w:r>
      <w:hyperlink r:id="rId27" w:history="1">
        <w:r>
          <w:rPr>
            <w:rStyle w:val="a3"/>
            <w:color w:val="0000FF"/>
            <w:sz w:val="26"/>
            <w:szCs w:val="26"/>
            <w:u w:val="none"/>
          </w:rPr>
          <w:t>п. 3</w:t>
        </w:r>
      </w:hyperlink>
      <w:r>
        <w:rPr>
          <w:color w:val="000000"/>
          <w:sz w:val="26"/>
          <w:szCs w:val="26"/>
        </w:rPr>
        <w:t xml:space="preserve"> или </w:t>
      </w:r>
      <w:hyperlink r:id="rId28" w:history="1">
        <w:r>
          <w:rPr>
            <w:rStyle w:val="a3"/>
            <w:color w:val="0000FF"/>
            <w:sz w:val="26"/>
            <w:szCs w:val="26"/>
            <w:u w:val="none"/>
          </w:rPr>
          <w:t>п. 4 ч. 1 ст. 43</w:t>
        </w:r>
      </w:hyperlink>
      <w:r>
        <w:rPr>
          <w:color w:val="000000"/>
          <w:sz w:val="26"/>
          <w:szCs w:val="26"/>
        </w:rPr>
        <w:t xml:space="preserve"> Закона о контрактной системе.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Согласно протоколу подведения итогов определения поставщика (подрядчика, исполнителя) от 29.08.2025 заявка Заявителя отклонена в частности на следующем основании: «В</w:t>
      </w:r>
      <w:r>
        <w:rPr>
          <w:sz w:val="26"/>
          <w:szCs w:val="26"/>
        </w:rPr>
        <w:t xml:space="preserve">ыявление недостоверной информации, содержащейся в заявке на участие в закупке (Отклонение по п. 8 ч. 12 ст. 48 Закона № 44-ФЗ). В соответствии с п.8 ч.12 ст.48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(Закона №44-ФЗ), участник закупки в заявке предоставил недостоверные сведения о характеристиках предлагаемого товара, а именно: - </w:t>
      </w:r>
      <w:proofErr w:type="gramStart"/>
      <w:r>
        <w:rPr>
          <w:sz w:val="26"/>
          <w:szCs w:val="26"/>
        </w:rPr>
        <w:t>по поз</w:t>
      </w:r>
      <w:proofErr w:type="gramEnd"/>
      <w:r>
        <w:rPr>
          <w:sz w:val="26"/>
          <w:szCs w:val="26"/>
        </w:rPr>
        <w:t>. №133 «Проводник для доступа к коронарным/периферическим сосудам, одноразового использования» (КТРУ 32.50.13.110-00005072) на предлагаемый к поставке товар «Проводник HI-TORQUE BALANCE MIDDLEWEIGHT с гидрофильным покрытием HYDROCOAT» производства «</w:t>
      </w:r>
      <w:proofErr w:type="spellStart"/>
      <w:r>
        <w:rPr>
          <w:sz w:val="26"/>
          <w:szCs w:val="26"/>
        </w:rPr>
        <w:t>Abbott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Vascular</w:t>
      </w:r>
      <w:proofErr w:type="spellEnd"/>
      <w:r>
        <w:rPr>
          <w:sz w:val="26"/>
          <w:szCs w:val="26"/>
        </w:rPr>
        <w:t>», Соединенные Штаты Америки (РУ РЗН 2022/18438 от 20 августа 2024 года) при описании характеристики «Жесткость, Грамм» участник указал «0,70» (требуемое значение: «≥ 0,50 и ≤1,00»); Согласно письму №1/22/05/2023 от 22 мая 2023 года ООО «</w:t>
      </w:r>
      <w:proofErr w:type="spellStart"/>
      <w:r>
        <w:rPr>
          <w:sz w:val="26"/>
          <w:szCs w:val="26"/>
        </w:rPr>
        <w:t>Эббот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Лэбораториз</w:t>
      </w:r>
      <w:proofErr w:type="spellEnd"/>
      <w:r>
        <w:rPr>
          <w:sz w:val="26"/>
          <w:szCs w:val="26"/>
        </w:rPr>
        <w:t>», уполномоченного представителя производителя на территории Российской Федерации, данный показатель проводника HI-TORQUE BALANCE MIDDLEWEIGHT составляет 0,6 грамм.</w:t>
      </w:r>
      <w:r>
        <w:rPr>
          <w:color w:val="000000"/>
          <w:sz w:val="26"/>
          <w:szCs w:val="26"/>
        </w:rPr>
        <w:t>»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lastRenderedPageBreak/>
        <w:t>Оценивая доводы жалобы заявителя и объяснения Заказчика, уполномоченного учреждения, Комиссия Чувашского УФАС России руководствовалась следующим.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 xml:space="preserve">В </w:t>
      </w:r>
      <w:r>
        <w:rPr>
          <w:sz w:val="26"/>
          <w:szCs w:val="26"/>
        </w:rPr>
        <w:t xml:space="preserve">силу </w:t>
      </w:r>
      <w:r>
        <w:rPr>
          <w:color w:val="0000FF"/>
          <w:sz w:val="26"/>
          <w:szCs w:val="26"/>
        </w:rPr>
        <w:t>п. 1 ч. 2 ст. 42</w:t>
      </w:r>
      <w:r>
        <w:rPr>
          <w:sz w:val="26"/>
          <w:szCs w:val="26"/>
        </w:rPr>
        <w:t xml:space="preserve"> Закона о контрактной системе извещение об осуществлении закупки, если иное не предусмотрено настоящим Федеральным </w:t>
      </w:r>
      <w:r>
        <w:rPr>
          <w:color w:val="0000FF"/>
          <w:sz w:val="26"/>
          <w:szCs w:val="26"/>
        </w:rPr>
        <w:t>законом</w:t>
      </w:r>
      <w:r>
        <w:rPr>
          <w:sz w:val="26"/>
          <w:szCs w:val="26"/>
        </w:rPr>
        <w:t xml:space="preserve">, должно содержать следующие электронные документы: описание объекта закупки в соответствии со </w:t>
      </w:r>
      <w:r>
        <w:rPr>
          <w:color w:val="0000FF"/>
          <w:sz w:val="26"/>
          <w:szCs w:val="26"/>
        </w:rPr>
        <w:t>статьей 33</w:t>
      </w:r>
      <w:r>
        <w:rPr>
          <w:sz w:val="26"/>
          <w:szCs w:val="26"/>
        </w:rPr>
        <w:t xml:space="preserve"> настоящего Федерального закона.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color w:val="000000"/>
          <w:sz w:val="26"/>
          <w:szCs w:val="26"/>
        </w:rPr>
        <w:t>Объектом закупки является поставка и</w:t>
      </w:r>
      <w:r>
        <w:rPr>
          <w:sz w:val="26"/>
          <w:szCs w:val="26"/>
        </w:rPr>
        <w:t xml:space="preserve">зделий медицинского назначения - </w:t>
      </w:r>
      <w:r>
        <w:rPr>
          <w:color w:val="000000"/>
          <w:sz w:val="26"/>
          <w:szCs w:val="26"/>
          <w:shd w:val="clear" w:color="auto" w:fill="FFFFFF"/>
        </w:rPr>
        <w:t xml:space="preserve">расходных материалов для </w:t>
      </w:r>
      <w:proofErr w:type="spellStart"/>
      <w:r>
        <w:rPr>
          <w:color w:val="000000"/>
          <w:sz w:val="26"/>
          <w:szCs w:val="26"/>
          <w:shd w:val="clear" w:color="auto" w:fill="FFFFFF"/>
        </w:rPr>
        <w:t>эндоваскулярных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вмешательств, в том числе </w:t>
      </w:r>
      <w:proofErr w:type="gramStart"/>
      <w:r>
        <w:rPr>
          <w:color w:val="000000"/>
          <w:sz w:val="26"/>
          <w:szCs w:val="26"/>
          <w:shd w:val="clear" w:color="auto" w:fill="FFFFFF"/>
        </w:rPr>
        <w:t>по поз</w:t>
      </w:r>
      <w:proofErr w:type="gramEnd"/>
      <w:r>
        <w:rPr>
          <w:color w:val="000000"/>
          <w:sz w:val="26"/>
          <w:szCs w:val="26"/>
          <w:shd w:val="clear" w:color="auto" w:fill="FFFFFF"/>
        </w:rPr>
        <w:t xml:space="preserve"> 133 «Проводник для доступа к коронарным/периферическим сосудам, одноразового использования»</w:t>
      </w:r>
    </w:p>
    <w:p w:rsidR="00984907" w:rsidRDefault="00984907" w:rsidP="00984907">
      <w:pPr>
        <w:pStyle w:val="a4"/>
        <w:spacing w:before="0" w:beforeAutospacing="0" w:after="0"/>
        <w:jc w:val="both"/>
      </w:pPr>
      <w:r>
        <w:rPr>
          <w:sz w:val="26"/>
          <w:szCs w:val="26"/>
        </w:rPr>
        <w:t xml:space="preserve">Характеристики товара были указаны в структурированном виде при формировании извещения об осуществлении закупки, а также конкретизированы в электронном документе "Описание объекта закупки", в том числе </w:t>
      </w:r>
      <w:proofErr w:type="gramStart"/>
      <w:r>
        <w:rPr>
          <w:sz w:val="26"/>
          <w:szCs w:val="26"/>
        </w:rPr>
        <w:t>по поз</w:t>
      </w:r>
      <w:proofErr w:type="gramEnd"/>
      <w:r>
        <w:rPr>
          <w:sz w:val="26"/>
          <w:szCs w:val="26"/>
        </w:rPr>
        <w:t xml:space="preserve"> 133 </w:t>
      </w:r>
      <w:r>
        <w:rPr>
          <w:i/>
          <w:iCs/>
          <w:sz w:val="26"/>
          <w:szCs w:val="26"/>
        </w:rPr>
        <w:t>«</w:t>
      </w:r>
      <w:r>
        <w:rPr>
          <w:i/>
          <w:iCs/>
          <w:spacing w:val="-2"/>
          <w:sz w:val="26"/>
          <w:szCs w:val="26"/>
        </w:rPr>
        <w:t xml:space="preserve">Материал дистальной части сердечника- </w:t>
      </w:r>
      <w:proofErr w:type="spellStart"/>
      <w:r>
        <w:rPr>
          <w:i/>
          <w:iCs/>
          <w:spacing w:val="-2"/>
          <w:sz w:val="26"/>
          <w:szCs w:val="26"/>
        </w:rPr>
        <w:t>нитинол</w:t>
      </w:r>
      <w:proofErr w:type="spellEnd"/>
      <w:r>
        <w:rPr>
          <w:i/>
          <w:iCs/>
          <w:spacing w:val="-2"/>
          <w:sz w:val="26"/>
          <w:szCs w:val="26"/>
        </w:rPr>
        <w:t xml:space="preserve">, Гидрофильное покрытие дистальной части проводника - наличие, Длина </w:t>
      </w:r>
      <w:proofErr w:type="spellStart"/>
      <w:r>
        <w:rPr>
          <w:i/>
          <w:iCs/>
          <w:spacing w:val="-2"/>
          <w:sz w:val="26"/>
          <w:szCs w:val="26"/>
        </w:rPr>
        <w:t>рентгеноконтрастного</w:t>
      </w:r>
      <w:proofErr w:type="spellEnd"/>
      <w:r>
        <w:rPr>
          <w:i/>
          <w:iCs/>
          <w:spacing w:val="-2"/>
          <w:sz w:val="26"/>
          <w:szCs w:val="26"/>
        </w:rPr>
        <w:t xml:space="preserve"> кончика - ≥</w:t>
      </w:r>
      <w:r>
        <w:rPr>
          <w:i/>
          <w:iCs/>
          <w:sz w:val="26"/>
          <w:szCs w:val="26"/>
        </w:rPr>
        <w:t xml:space="preserve"> 2 и</w:t>
      </w:r>
      <w:r>
        <w:rPr>
          <w:i/>
          <w:iCs/>
          <w:spacing w:val="-2"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≤ </w:t>
      </w:r>
      <w:r>
        <w:rPr>
          <w:i/>
          <w:iCs/>
          <w:spacing w:val="-10"/>
          <w:sz w:val="26"/>
          <w:szCs w:val="26"/>
        </w:rPr>
        <w:t>4</w:t>
      </w:r>
      <w:r>
        <w:rPr>
          <w:i/>
          <w:iCs/>
          <w:spacing w:val="-2"/>
          <w:sz w:val="26"/>
          <w:szCs w:val="26"/>
        </w:rPr>
        <w:t>, Диаметр проводника — 0.014, длина - ≥</w:t>
      </w:r>
      <w:r>
        <w:rPr>
          <w:i/>
          <w:iCs/>
          <w:sz w:val="26"/>
          <w:szCs w:val="26"/>
        </w:rPr>
        <w:t xml:space="preserve"> 180 и</w:t>
      </w:r>
      <w:r>
        <w:rPr>
          <w:i/>
          <w:iCs/>
          <w:spacing w:val="-2"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≤ </w:t>
      </w:r>
      <w:r>
        <w:rPr>
          <w:i/>
          <w:iCs/>
          <w:spacing w:val="-6"/>
          <w:sz w:val="26"/>
          <w:szCs w:val="26"/>
        </w:rPr>
        <w:t>190</w:t>
      </w:r>
      <w:r>
        <w:rPr>
          <w:i/>
          <w:iCs/>
          <w:spacing w:val="-2"/>
          <w:sz w:val="26"/>
          <w:szCs w:val="26"/>
        </w:rPr>
        <w:t>, Форма кончика — прямая, Жесткость - ≥</w:t>
      </w:r>
      <w:r>
        <w:rPr>
          <w:i/>
          <w:iCs/>
          <w:sz w:val="26"/>
          <w:szCs w:val="26"/>
        </w:rPr>
        <w:t xml:space="preserve"> 0.5 и</w:t>
      </w:r>
      <w:r>
        <w:rPr>
          <w:i/>
          <w:iCs/>
          <w:spacing w:val="-2"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≤ </w:t>
      </w:r>
      <w:r>
        <w:rPr>
          <w:i/>
          <w:iCs/>
          <w:spacing w:val="-10"/>
          <w:sz w:val="26"/>
          <w:szCs w:val="26"/>
        </w:rPr>
        <w:t>1»</w:t>
      </w:r>
      <w:r>
        <w:rPr>
          <w:spacing w:val="-2"/>
          <w:sz w:val="26"/>
          <w:szCs w:val="26"/>
        </w:rPr>
        <w:t>.</w:t>
      </w:r>
    </w:p>
    <w:p w:rsidR="00984907" w:rsidRDefault="00984907" w:rsidP="00984907">
      <w:pPr>
        <w:pStyle w:val="a4"/>
        <w:spacing w:before="0" w:beforeAutospacing="0" w:after="0"/>
        <w:jc w:val="both"/>
      </w:pPr>
      <w:r>
        <w:rPr>
          <w:sz w:val="26"/>
          <w:szCs w:val="26"/>
        </w:rPr>
        <w:t xml:space="preserve">Заявителем к поставке предложен следующий товар - </w:t>
      </w:r>
      <w:r>
        <w:rPr>
          <w:color w:val="000000"/>
          <w:sz w:val="26"/>
          <w:szCs w:val="26"/>
        </w:rPr>
        <w:t>Проводник HI-TORQUE BALANCE MIDDLEWEIGHT с гидрофильным покрытием HYDROCOAT</w:t>
      </w:r>
      <w:r>
        <w:rPr>
          <w:sz w:val="26"/>
          <w:szCs w:val="26"/>
        </w:rPr>
        <w:t xml:space="preserve"> регистрационное удостоверение Федеральной службы по надзору в сфере здравоохранения № РЗН 2022/18438 от 20.08.2024г. со следующими характеристиками «</w:t>
      </w:r>
      <w:r>
        <w:rPr>
          <w:i/>
          <w:iCs/>
          <w:spacing w:val="-2"/>
          <w:sz w:val="26"/>
          <w:szCs w:val="26"/>
        </w:rPr>
        <w:t xml:space="preserve">Материал дистальной части сердечника- </w:t>
      </w:r>
      <w:proofErr w:type="spellStart"/>
      <w:r>
        <w:rPr>
          <w:i/>
          <w:iCs/>
          <w:spacing w:val="-2"/>
          <w:sz w:val="26"/>
          <w:szCs w:val="26"/>
        </w:rPr>
        <w:t>нитинол</w:t>
      </w:r>
      <w:proofErr w:type="spellEnd"/>
      <w:r>
        <w:rPr>
          <w:i/>
          <w:iCs/>
          <w:spacing w:val="-2"/>
          <w:sz w:val="26"/>
          <w:szCs w:val="26"/>
        </w:rPr>
        <w:t xml:space="preserve">, Гидрофильное покрытие дистальной части проводника - наличие, Длина </w:t>
      </w:r>
      <w:proofErr w:type="spellStart"/>
      <w:r>
        <w:rPr>
          <w:i/>
          <w:iCs/>
          <w:spacing w:val="-2"/>
          <w:sz w:val="26"/>
          <w:szCs w:val="26"/>
        </w:rPr>
        <w:t>рентгеноконтрастного</w:t>
      </w:r>
      <w:proofErr w:type="spellEnd"/>
      <w:r>
        <w:rPr>
          <w:i/>
          <w:iCs/>
          <w:spacing w:val="-2"/>
          <w:sz w:val="26"/>
          <w:szCs w:val="26"/>
        </w:rPr>
        <w:t xml:space="preserve"> кончика - 3, Диаметр проводника — 0.014, длина - </w:t>
      </w:r>
      <w:r>
        <w:rPr>
          <w:i/>
          <w:iCs/>
          <w:spacing w:val="-6"/>
          <w:sz w:val="26"/>
          <w:szCs w:val="26"/>
        </w:rPr>
        <w:t>190</w:t>
      </w:r>
      <w:r>
        <w:rPr>
          <w:i/>
          <w:iCs/>
          <w:spacing w:val="-2"/>
          <w:sz w:val="26"/>
          <w:szCs w:val="26"/>
        </w:rPr>
        <w:t xml:space="preserve">, Форма кончика — прямая, </w:t>
      </w:r>
      <w:r>
        <w:rPr>
          <w:b/>
          <w:bCs/>
          <w:i/>
          <w:iCs/>
          <w:spacing w:val="-2"/>
          <w:sz w:val="26"/>
          <w:szCs w:val="26"/>
        </w:rPr>
        <w:t xml:space="preserve">Жесткость — </w:t>
      </w:r>
      <w:r>
        <w:rPr>
          <w:b/>
          <w:bCs/>
          <w:i/>
          <w:iCs/>
          <w:sz w:val="26"/>
          <w:szCs w:val="26"/>
        </w:rPr>
        <w:t>0.7</w:t>
      </w:r>
      <w:r>
        <w:rPr>
          <w:i/>
          <w:iCs/>
          <w:spacing w:val="-10"/>
          <w:sz w:val="26"/>
          <w:szCs w:val="26"/>
        </w:rPr>
        <w:t>»</w:t>
      </w:r>
      <w:r>
        <w:rPr>
          <w:spacing w:val="-2"/>
          <w:sz w:val="26"/>
          <w:szCs w:val="26"/>
        </w:rPr>
        <w:t>.</w:t>
      </w:r>
    </w:p>
    <w:p w:rsidR="00984907" w:rsidRDefault="00984907" w:rsidP="00984907">
      <w:pPr>
        <w:pStyle w:val="a4"/>
        <w:spacing w:before="0" w:beforeAutospacing="0" w:after="0"/>
        <w:jc w:val="both"/>
      </w:pPr>
      <w:r>
        <w:rPr>
          <w:spacing w:val="-2"/>
          <w:sz w:val="26"/>
          <w:szCs w:val="26"/>
        </w:rPr>
        <w:t>Представителем ООО «</w:t>
      </w:r>
      <w:proofErr w:type="spellStart"/>
      <w:r>
        <w:rPr>
          <w:spacing w:val="-2"/>
          <w:sz w:val="26"/>
          <w:szCs w:val="26"/>
        </w:rPr>
        <w:t>ФармГрупп</w:t>
      </w:r>
      <w:proofErr w:type="spellEnd"/>
      <w:r>
        <w:rPr>
          <w:spacing w:val="-2"/>
          <w:sz w:val="26"/>
          <w:szCs w:val="26"/>
        </w:rPr>
        <w:t xml:space="preserve">» пояснено, что </w:t>
      </w:r>
      <w:proofErr w:type="gramStart"/>
      <w:r>
        <w:rPr>
          <w:spacing w:val="-2"/>
          <w:sz w:val="26"/>
          <w:szCs w:val="26"/>
        </w:rPr>
        <w:t>по поз</w:t>
      </w:r>
      <w:proofErr w:type="gramEnd"/>
      <w:r>
        <w:rPr>
          <w:spacing w:val="-2"/>
          <w:sz w:val="26"/>
          <w:szCs w:val="26"/>
        </w:rPr>
        <w:t>. 133 извещения ООО «</w:t>
      </w:r>
      <w:proofErr w:type="spellStart"/>
      <w:r>
        <w:rPr>
          <w:spacing w:val="-2"/>
          <w:sz w:val="26"/>
          <w:szCs w:val="26"/>
        </w:rPr>
        <w:t>ФармГрупп</w:t>
      </w:r>
      <w:proofErr w:type="spellEnd"/>
      <w:r>
        <w:rPr>
          <w:spacing w:val="-2"/>
          <w:sz w:val="26"/>
          <w:szCs w:val="26"/>
        </w:rPr>
        <w:t>» предложило к поставке товар - «Проводник HI-TORQUE BALANCE MIDDLEWEIGHT с гидрофильным покрытием HYDROCOAT» производства «</w:t>
      </w:r>
      <w:proofErr w:type="spellStart"/>
      <w:r>
        <w:rPr>
          <w:spacing w:val="-2"/>
          <w:sz w:val="26"/>
          <w:szCs w:val="26"/>
        </w:rPr>
        <w:t>Abbott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Vascular</w:t>
      </w:r>
      <w:proofErr w:type="spellEnd"/>
      <w:r>
        <w:rPr>
          <w:spacing w:val="-2"/>
          <w:sz w:val="26"/>
          <w:szCs w:val="26"/>
        </w:rPr>
        <w:t>», Соединенные Штаты Америки (РУ РЗН 2022/18438 от 20 августа 2024 года). Характеристики товара в полной мере соответствуют требованиям заказчика, установленным в извещении. Значение жесткости предложенного заявителем товара 0,7 грамм. Показатель жесткости проводника в инструкции, опубликованной на официальном сайте Росздравнадзора РФ, для регистрационного удостоверения РЗН2022/18438 от 20.08.2024 отсутствует. Заявка ООО «</w:t>
      </w:r>
      <w:proofErr w:type="spellStart"/>
      <w:r>
        <w:rPr>
          <w:spacing w:val="-2"/>
          <w:sz w:val="26"/>
          <w:szCs w:val="26"/>
        </w:rPr>
        <w:t>ФармГрупп</w:t>
      </w:r>
      <w:proofErr w:type="spellEnd"/>
      <w:r>
        <w:rPr>
          <w:spacing w:val="-2"/>
          <w:sz w:val="26"/>
          <w:szCs w:val="26"/>
        </w:rPr>
        <w:t>» формировалась на основании информации, представленной в официальных каталогах производителя, а также с учетом государственных контрактов, ранее заключенных заказчиком. При описании характеристики «Жесткость, грамм» ООО «</w:t>
      </w:r>
      <w:proofErr w:type="spellStart"/>
      <w:r>
        <w:rPr>
          <w:spacing w:val="-2"/>
          <w:sz w:val="26"/>
          <w:szCs w:val="26"/>
        </w:rPr>
        <w:t>ФармГрупп</w:t>
      </w:r>
      <w:proofErr w:type="spellEnd"/>
      <w:r>
        <w:rPr>
          <w:spacing w:val="-2"/>
          <w:sz w:val="26"/>
          <w:szCs w:val="26"/>
        </w:rPr>
        <w:t xml:space="preserve">» указало «0,7» (требуемое значение: «≥0,50 и ≤1,00»), что в полной мере соответствует потребностям заказчика, а также общедоступным каталогам производителя: в сети интернет, а также бумажным версиям, распространяемыми на различных выставках и конференциях представителями производителя и дистрибьюторами. 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Представитель Заказчика при рассмотрении пояснил, что на предлагаемый ООО «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 xml:space="preserve">» к поставке товар «Проводник HITORQUE BALANCE MIDDLEWEIGHT с гидрофильным покрытием HYDROCOAT» (производитель: </w:t>
      </w:r>
      <w:proofErr w:type="spellStart"/>
      <w:r>
        <w:rPr>
          <w:color w:val="000000"/>
          <w:sz w:val="26"/>
          <w:szCs w:val="26"/>
        </w:rPr>
        <w:t>Эбботт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Медикал</w:t>
      </w:r>
      <w:proofErr w:type="spellEnd"/>
      <w:r>
        <w:rPr>
          <w:color w:val="000000"/>
          <w:sz w:val="26"/>
          <w:szCs w:val="26"/>
        </w:rPr>
        <w:t xml:space="preserve">, Соединенные Штаты Америки (Регистрационное удостоверение № РЗН 2022/18438 от 20 августа 2024 года) при описании характеристики «Жесткость, грамм» участник указал «0,7» (требуемое значение: «≥0,50 и ≤1,00»). В связи с тем, что показатель жесткости проводника в инструкции, опубликованной на </w:t>
      </w:r>
      <w:r>
        <w:rPr>
          <w:color w:val="000000"/>
          <w:sz w:val="26"/>
          <w:szCs w:val="26"/>
        </w:rPr>
        <w:lastRenderedPageBreak/>
        <w:t xml:space="preserve">официальном сайте Росздравнадзора РФ, для регистрационного удостоверения РЗН2022/18438 от 20.08.2024, отсутствует, Заказчик использовал другие источники информации для подтверждения ее достоверности: 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1. Официальный сайт производителя https://www.cardiovascular.abbott/int/en/home.html. На официальном сайте производителя информация о товаре, являющегося предметом закупки по позиции 133 «Проводник для доступа к коронарным/периферическим сосудам, одноразового использования», и предложенного ООО «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>» к поставке - «Проводник HI-TORQUE BALANCE MIDDLEWEIGHT с гидрофильным покрытием HYDROCOAT» - размещена по адресу https://www.cardiovascular.abbott/int/en/hcp/products/percutaneous-coronaryintervention/coronary-guidewires/workhorse.html. Для медицинского изделия, проводника HI-TORQUE BALANCE MIDDLEWEIGHT, предложенного ООО «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>» к поставке по позиции 133 «Проводник для доступа к коронарным/периферическим сосудам, одноразового использования», указанное на официальном сайте производителя значение характеристики жесткости в граммах составляет 0,6, а не 0,7, как было указано в заявке заявителя Жалобы.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2. Письмо №1/22/05/2023 от 22.05.2023 ООО «</w:t>
      </w:r>
      <w:proofErr w:type="spellStart"/>
      <w:r>
        <w:rPr>
          <w:color w:val="000000"/>
          <w:sz w:val="26"/>
          <w:szCs w:val="26"/>
        </w:rPr>
        <w:t>Эббот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Лэбораториз</w:t>
      </w:r>
      <w:proofErr w:type="spellEnd"/>
      <w:r>
        <w:rPr>
          <w:color w:val="000000"/>
          <w:sz w:val="26"/>
          <w:szCs w:val="26"/>
        </w:rPr>
        <w:t xml:space="preserve">», уполномоченного представителя производителя на территории Российской Федерации. Указанное письмо также подтверждает, что показатель жесткости в граммах у проводника HITORQUE BALANCE MIDDLEWEIGHT составляет 0,6 грамм. В соответствии с пунктом 4 главы 1 Правил государственной регистрации медицинских изделий утвержденных Постановлением Правительства Российской Федерации от 30 ноября 2024 г. № 1684 «Об утверждении Правил государственной регистрации медицинских изделий» установлено, что "уполномоченный представитель производителя (изготовителя) медицинского изделия" - юридическое лицо или зарегистрированное в качестве индивидуального предпринимателя физическое лицо, являющиеся резидентами Российской Федерации, уполномоченные производителем (изготовителем) медицинского изделия представлять его интересы по вопросам обращения медицинского изделия на территории Российской Федерации, в том числе по вопросам процедур оценки соответствия и государственной регистрации. 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Изучив материалы дела, заслушав доводы сторон, Комиссия приходит к следующему.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r>
        <w:rPr>
          <w:color w:val="0000FF"/>
          <w:sz w:val="26"/>
          <w:szCs w:val="26"/>
        </w:rPr>
        <w:t>подпункту "а" пункта 2 части 1 статьи 43</w:t>
      </w:r>
      <w:r>
        <w:rPr>
          <w:sz w:val="26"/>
          <w:szCs w:val="26"/>
        </w:rPr>
        <w:t xml:space="preserve"> Закона о контрактной системе для участия в конкурентном способе заявка на участие в закупке, если иное не предусмотрено </w:t>
      </w:r>
      <w:r>
        <w:rPr>
          <w:color w:val="0000FF"/>
          <w:sz w:val="26"/>
          <w:szCs w:val="26"/>
        </w:rPr>
        <w:t>Законом</w:t>
      </w:r>
      <w:r>
        <w:rPr>
          <w:sz w:val="26"/>
          <w:szCs w:val="26"/>
        </w:rPr>
        <w:t xml:space="preserve"> о контрактной системе, должна содержать предложение участника закупки в отношении объекта закупки с учетом положений </w:t>
      </w:r>
      <w:r>
        <w:rPr>
          <w:color w:val="0000FF"/>
          <w:sz w:val="26"/>
          <w:szCs w:val="26"/>
        </w:rPr>
        <w:t>части 2 статьи 43</w:t>
      </w:r>
      <w:r>
        <w:rPr>
          <w:sz w:val="26"/>
          <w:szCs w:val="26"/>
        </w:rPr>
        <w:t xml:space="preserve">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</w:t>
      </w:r>
      <w:r>
        <w:rPr>
          <w:color w:val="0000FF"/>
          <w:sz w:val="26"/>
          <w:szCs w:val="26"/>
        </w:rPr>
        <w:t>частью 2 статьи 33</w:t>
      </w:r>
      <w:r>
        <w:rPr>
          <w:sz w:val="26"/>
          <w:szCs w:val="26"/>
        </w:rPr>
        <w:t xml:space="preserve"> Закона о контрактной системе, товарный знак (при наличии у товара товарного знака).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В соответствии с </w:t>
      </w:r>
      <w:r>
        <w:rPr>
          <w:color w:val="0000FF"/>
          <w:sz w:val="26"/>
          <w:szCs w:val="26"/>
        </w:rPr>
        <w:t>пунктом 2 статьи 33</w:t>
      </w:r>
      <w:r>
        <w:rPr>
          <w:sz w:val="26"/>
          <w:szCs w:val="26"/>
        </w:rPr>
        <w:t xml:space="preserve"> Закона о контрактной системе описание объекта закупки в соответствии с требованиями, указанными в </w:t>
      </w:r>
      <w:r>
        <w:rPr>
          <w:color w:val="0000FF"/>
          <w:sz w:val="26"/>
          <w:szCs w:val="26"/>
        </w:rPr>
        <w:t>части 1 статьи 33</w:t>
      </w:r>
      <w:r>
        <w:rPr>
          <w:sz w:val="26"/>
          <w:szCs w:val="26"/>
        </w:rPr>
        <w:t xml:space="preserve">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</w:t>
      </w:r>
      <w:r>
        <w:rPr>
          <w:sz w:val="26"/>
          <w:szCs w:val="26"/>
        </w:rPr>
        <w:lastRenderedPageBreak/>
        <w:t>минимальные значения таких показателей и (или) значения показателей, которые не могут изменяться.</w:t>
      </w:r>
    </w:p>
    <w:p w:rsidR="00984907" w:rsidRDefault="00984907" w:rsidP="00984907">
      <w:pPr>
        <w:pStyle w:val="a4"/>
        <w:spacing w:before="0" w:beforeAutospacing="0" w:after="0"/>
        <w:ind w:firstLine="539"/>
        <w:jc w:val="both"/>
      </w:pPr>
      <w:r>
        <w:rPr>
          <w:sz w:val="26"/>
          <w:szCs w:val="26"/>
        </w:rPr>
        <w:t xml:space="preserve">Согласно </w:t>
      </w:r>
      <w:r>
        <w:rPr>
          <w:color w:val="0000FF"/>
          <w:sz w:val="26"/>
          <w:szCs w:val="26"/>
        </w:rPr>
        <w:t>подпункту "в" пункта 2 части 1 статьи 43</w:t>
      </w:r>
      <w:r>
        <w:rPr>
          <w:sz w:val="26"/>
          <w:szCs w:val="26"/>
        </w:rPr>
        <w:t xml:space="preserve"> Закона о контрактной системе для участия в конкурентном способе заявка на участие в закупке, если иное не предусмотрено </w:t>
      </w:r>
      <w:r>
        <w:rPr>
          <w:color w:val="0000FF"/>
          <w:sz w:val="26"/>
          <w:szCs w:val="26"/>
        </w:rPr>
        <w:t>Законом</w:t>
      </w:r>
      <w:r>
        <w:rPr>
          <w:sz w:val="26"/>
          <w:szCs w:val="26"/>
        </w:rPr>
        <w:t xml:space="preserve"> о контрактной системе, должна содержать предложение участника закупки в отношении объекта закупки, в том числе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</w:t>
      </w:r>
      <w:r>
        <w:rPr>
          <w:color w:val="0000FF"/>
          <w:sz w:val="26"/>
          <w:szCs w:val="26"/>
        </w:rPr>
        <w:t>Законом</w:t>
      </w:r>
      <w:r>
        <w:rPr>
          <w:sz w:val="26"/>
          <w:szCs w:val="26"/>
        </w:rPr>
        <w:t xml:space="preserve">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Правоотношения в сфере здравоохранения регулируются Федеральным законом от 21.11.2011 № 323-ФЗ "Об основах охраны здоровья граждан в Российской Федерации" (далее - Закон об основах охраны здоровья).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В соответствии с частью 1 статьи 38 Закона об основах охраны здоровья медицинскими изделиями являются любые инструменты, аппараты, приборы, оборудование, материалы и прочие изделия, применяемые в медицинских целях отдельно или в сочетании между собой, а также вместе с другими принадлежностями, необходимыми для применения указанных изделий по назначению, включая специальное программное обеспечение, и предназначенные производителем для профилактики, диагностики, лечения и медицинской реабилитации заболеваний, мониторинга состояния организма человека, проведения медицинских исследований, восстановления, замещения, изменения анатомической структуры или физиологических функций организма, предотвращения или прерывания беременности, функциональное назначение которых </w:t>
      </w:r>
      <w:proofErr w:type="spellStart"/>
      <w:r>
        <w:rPr>
          <w:color w:val="000000"/>
          <w:sz w:val="26"/>
          <w:szCs w:val="26"/>
        </w:rPr>
        <w:t>нс</w:t>
      </w:r>
      <w:proofErr w:type="spellEnd"/>
      <w:r>
        <w:rPr>
          <w:color w:val="000000"/>
          <w:sz w:val="26"/>
          <w:szCs w:val="26"/>
        </w:rPr>
        <w:t xml:space="preserve"> реализуется путем фармакологического, иммунологического, генетического или метаболического воздействия на организм человека. Медицинские изделия могут признаваться взаимозаменяемыми, если они сравнимы по функциональному назначению, качественным и техническим характеристикам и способны заменить друг друга.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Назначение медицинского изделия устанавливается производителем и подтверждается регистрационными документами, в том числе технической и эксплуатационной документацией производителя, протоколами испытаний и экспертизой качества, эффективности и безопасности медицинского изделия, осуществляемой в рамках его государственной регистрации.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Комиссия Чувашского УФАС России отмечает, что согласно части 4 статьи 38 Закона об основах охраны здоровья,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Постановлением Правительства Российской Федерации от 27 декабря 2012 года № 1416 утверждены Правила государственной регистрации медицинских изделий.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lastRenderedPageBreak/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Как следует из </w:t>
      </w:r>
      <w:proofErr w:type="spellStart"/>
      <w:r>
        <w:rPr>
          <w:color w:val="000000"/>
          <w:sz w:val="26"/>
          <w:szCs w:val="26"/>
        </w:rPr>
        <w:t>пп</w:t>
      </w:r>
      <w:proofErr w:type="spellEnd"/>
      <w:r>
        <w:rPr>
          <w:color w:val="000000"/>
          <w:sz w:val="26"/>
          <w:szCs w:val="26"/>
        </w:rPr>
        <w:t>. "а" п. 54 Правил № 1416 регистрирующий орган формирует регистрационное досье, которое включает в себя документы, предусмотренные п. 10 Правил № 1416.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В соответствии с п. 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"Интернет".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Кроме того, в силу п. 9 Постановления Правительства РФ от 30.09.2021 № 1650 "Об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а также о признании утратившими силу некоторых актов Правительства Российской Федерации" (далее - Постановление Правительства N 1650) сведения, содержащиеся в реестре, размещаются на официальном сайте Федеральной службы по надзору в сфере здравоохранения в сети "Интернет". Сведения, содержащиеся в реестре, обновляются ежедневно с сохранением всех редакций реестра.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В соответствии с частью 3 статьи 38 Закона об основах охраны здоровья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</w:t>
      </w:r>
      <w:r>
        <w:rPr>
          <w:color w:val="000000"/>
          <w:sz w:val="26"/>
          <w:szCs w:val="26"/>
        </w:rPr>
        <w:lastRenderedPageBreak/>
        <w:t>(изготовителя) медицинского изделия устанавливаются уполномоченным федеральным органом исполнительной власти.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Росздравнадзор размещает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Таким образом, информация, размещенная на сайте </w:t>
      </w:r>
      <w:proofErr w:type="gramStart"/>
      <w:r>
        <w:rPr>
          <w:color w:val="000000"/>
          <w:sz w:val="26"/>
          <w:szCs w:val="26"/>
        </w:rPr>
        <w:t>Росздравнадзора</w:t>
      </w:r>
      <w:proofErr w:type="gramEnd"/>
      <w:r>
        <w:rPr>
          <w:color w:val="000000"/>
          <w:sz w:val="26"/>
          <w:szCs w:val="26"/>
        </w:rPr>
        <w:t xml:space="preserve">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Также Комиссия Чувашского УФАС России отмечает, что </w:t>
      </w:r>
      <w:proofErr w:type="gramStart"/>
      <w:r>
        <w:rPr>
          <w:color w:val="000000"/>
          <w:sz w:val="26"/>
          <w:szCs w:val="26"/>
        </w:rPr>
        <w:t>информация</w:t>
      </w:r>
      <w:proofErr w:type="gramEnd"/>
      <w:r>
        <w:rPr>
          <w:color w:val="000000"/>
          <w:sz w:val="26"/>
          <w:szCs w:val="26"/>
        </w:rPr>
        <w:t xml:space="preserve"> размещенная в регистрационном досье медицинского изделия с регистрационным удостоверением № РЗН </w:t>
      </w:r>
      <w:r>
        <w:rPr>
          <w:color w:val="000000"/>
          <w:spacing w:val="-2"/>
          <w:sz w:val="26"/>
          <w:szCs w:val="26"/>
        </w:rPr>
        <w:t>2022/18438 от 20 августа 2024 года</w:t>
      </w:r>
      <w:r>
        <w:rPr>
          <w:color w:val="000000"/>
          <w:sz w:val="26"/>
          <w:szCs w:val="26"/>
        </w:rPr>
        <w:t xml:space="preserve"> не была обжалована. Таким образом, является актуальной и достоверной.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pacing w:val="-2"/>
          <w:sz w:val="26"/>
          <w:szCs w:val="26"/>
        </w:rPr>
        <w:t>Представитель заявителя не оспаривает, что показатель жесткости проводника в инструкции, опубликованной на официальном сайте Росздравнадзора РФ, для регистрационного удостоверения РЗН2022/18438 от 20.08.2024 отсутствует.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Особое внимание Комиссия Чувашского УФАС России обращает на то, что в соответствии с письмом ФАС России от 28.02.2025 № ДФ/18210/25, официальной и допустимой для проверки признается только информация, содержащаяся в регистрационных удостоверениях и эксплуатационной документации, размещенной на сайте Росздравнадзора. Письма производителей и данные из сети Интернет не могут быть признаны надлежащими доказательствами соответствия. Указанный подход подтвержден и ранее в ряде разъяснений ФАС России. Следовательно, в случае отсутствия характеристики в инструкции - участник не имеет законной возможности отразить ее в заявке, даже если по факту она присутствует в изделии. 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В виду изложенного, Комиссия Чувашское УФАС России не может признать достаточным доказательством наличия спорных функций </w:t>
      </w:r>
      <w:r>
        <w:rPr>
          <w:color w:val="000000"/>
          <w:spacing w:val="-2"/>
          <w:sz w:val="26"/>
          <w:szCs w:val="26"/>
        </w:rPr>
        <w:t>информацию, представленную в официальных каталогах производителя, при одновременном наличии иной информации на сайте производителя https://www.cardiovascular.abbott/int/en/home.html и отсутствии четкого указания на их наличие в регистрационном удостоверении медицинского изделия.</w:t>
      </w:r>
    </w:p>
    <w:p w:rsidR="00984907" w:rsidRDefault="00984907" w:rsidP="00984907">
      <w:pPr>
        <w:pStyle w:val="a4"/>
        <w:shd w:val="clear" w:color="auto" w:fill="FFFFFF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>На основании вышеизложенного Комиссия Управления приходит к выводу, что у комиссии по осуществлению закупок Заказчика имелись правовые основания для отклонения заявки Заявителя ввиду наличия в заявке, недостоверной информации, в связи с чем доводы жалобы Заявителя не нашли своего подтверждения и являются необоснованными.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</w:rPr>
        <w:t xml:space="preserve">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Default="00984907" w:rsidP="00984907">
      <w:pPr>
        <w:pStyle w:val="a4"/>
        <w:spacing w:before="0" w:beforeAutospacing="0" w:after="0"/>
        <w:ind w:firstLine="567"/>
        <w:jc w:val="center"/>
      </w:pPr>
      <w:r>
        <w:rPr>
          <w:b/>
          <w:bCs/>
          <w:color w:val="000000"/>
          <w:sz w:val="26"/>
          <w:szCs w:val="26"/>
        </w:rPr>
        <w:t>РЕШИЛА:</w:t>
      </w:r>
    </w:p>
    <w:p w:rsidR="00984907" w:rsidRDefault="00984907" w:rsidP="00984907">
      <w:pPr>
        <w:pStyle w:val="a4"/>
        <w:spacing w:before="0" w:beforeAutospacing="0" w:after="0"/>
        <w:ind w:firstLine="567"/>
        <w:jc w:val="both"/>
      </w:pPr>
    </w:p>
    <w:p w:rsidR="00984907" w:rsidRDefault="00984907" w:rsidP="00984907">
      <w:pPr>
        <w:pStyle w:val="a4"/>
        <w:spacing w:before="0" w:beforeAutospacing="0" w:after="0"/>
        <w:ind w:firstLine="709"/>
        <w:jc w:val="both"/>
      </w:pPr>
      <w:r>
        <w:rPr>
          <w:sz w:val="26"/>
          <w:szCs w:val="26"/>
        </w:rPr>
        <w:t xml:space="preserve">Признать жалобу </w:t>
      </w:r>
      <w:r>
        <w:rPr>
          <w:color w:val="000000"/>
          <w:sz w:val="26"/>
          <w:szCs w:val="26"/>
        </w:rPr>
        <w:t>ООО «</w:t>
      </w:r>
      <w:proofErr w:type="spellStart"/>
      <w:r>
        <w:rPr>
          <w:color w:val="000000"/>
          <w:sz w:val="26"/>
          <w:szCs w:val="26"/>
        </w:rPr>
        <w:t>ФармГрупп</w:t>
      </w:r>
      <w:proofErr w:type="spellEnd"/>
      <w:r>
        <w:rPr>
          <w:color w:val="000000"/>
          <w:sz w:val="26"/>
          <w:szCs w:val="26"/>
        </w:rPr>
        <w:t>»</w:t>
      </w:r>
      <w:r>
        <w:rPr>
          <w:sz w:val="26"/>
          <w:szCs w:val="26"/>
          <w:shd w:val="clear" w:color="auto" w:fill="FFFFFF"/>
        </w:rPr>
        <w:t xml:space="preserve"> на действия заказчика </w:t>
      </w:r>
      <w:r w:rsidRPr="00984907">
        <w:rPr>
          <w:color w:val="000000"/>
          <w:sz w:val="26"/>
          <w:szCs w:val="26"/>
          <w:shd w:val="clear" w:color="auto" w:fill="FFFFFF"/>
        </w:rPr>
        <w:t>Бюджетное учреждение Чувашской Республики «Республиканский кардиологический диспансер» Министерства здравоохранения Чувашской Республики</w:t>
      </w:r>
      <w:r>
        <w:rPr>
          <w:color w:val="000000"/>
          <w:sz w:val="26"/>
          <w:szCs w:val="26"/>
          <w:shd w:val="clear" w:color="auto" w:fill="FFFFFF"/>
        </w:rPr>
        <w:t xml:space="preserve"> при проведении электронного аукциона на поставку расходного материала для </w:t>
      </w:r>
      <w:proofErr w:type="spellStart"/>
      <w:r>
        <w:rPr>
          <w:color w:val="000000"/>
          <w:sz w:val="26"/>
          <w:szCs w:val="26"/>
          <w:shd w:val="clear" w:color="auto" w:fill="FFFFFF"/>
        </w:rPr>
        <w:t>эндоваскулярных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вмешательств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>. № 0815500000525011393) не</w:t>
      </w:r>
      <w:r>
        <w:rPr>
          <w:sz w:val="26"/>
          <w:szCs w:val="26"/>
        </w:rPr>
        <w:t>обоснованной.</w:t>
      </w:r>
    </w:p>
    <w:p w:rsidR="00984907" w:rsidRPr="00984907" w:rsidRDefault="00984907" w:rsidP="00984907">
      <w:pPr>
        <w:pStyle w:val="a4"/>
        <w:spacing w:before="0" w:beforeAutospacing="0" w:after="0"/>
        <w:ind w:firstLine="709"/>
        <w:jc w:val="both"/>
      </w:pPr>
      <w:r>
        <w:rPr>
          <w:lang w:val="en-US"/>
        </w:rPr>
        <w:lastRenderedPageBreak/>
        <w:t>&lt;…&gt;</w:t>
      </w:r>
    </w:p>
    <w:p w:rsidR="00984907" w:rsidRDefault="00984907" w:rsidP="00984907">
      <w:pPr>
        <w:pStyle w:val="a4"/>
        <w:spacing w:before="0" w:beforeAutospacing="0" w:after="0"/>
        <w:ind w:firstLine="709"/>
        <w:jc w:val="both"/>
      </w:pPr>
    </w:p>
    <w:p w:rsidR="00984907" w:rsidRDefault="00984907" w:rsidP="00984907">
      <w:pPr>
        <w:pStyle w:val="a4"/>
        <w:spacing w:before="0" w:beforeAutospacing="0" w:after="0"/>
        <w:ind w:firstLine="709"/>
        <w:jc w:val="both"/>
      </w:pPr>
      <w:r>
        <w:rPr>
          <w:i/>
          <w:iCs/>
          <w:color w:val="000000"/>
          <w:sz w:val="20"/>
          <w:szCs w:val="20"/>
          <w:shd w:val="clear" w:color="auto" w:fill="FFFFFF"/>
        </w:rPr>
        <w:t xml:space="preserve">Согласно части 9 статьи 106 Федерального закона от 05.04.2013 № 44-ФЗ «О </w:t>
      </w:r>
      <w:proofErr w:type="gramStart"/>
      <w:r>
        <w:rPr>
          <w:i/>
          <w:iCs/>
          <w:color w:val="000000"/>
          <w:sz w:val="20"/>
          <w:szCs w:val="20"/>
          <w:shd w:val="clear" w:color="auto" w:fill="FFFFFF"/>
        </w:rPr>
        <w:t>контрактной  системе</w:t>
      </w:r>
      <w:proofErr w:type="gramEnd"/>
      <w:r>
        <w:rPr>
          <w:i/>
          <w:iCs/>
          <w:color w:val="000000"/>
          <w:sz w:val="20"/>
          <w:szCs w:val="20"/>
          <w:shd w:val="clear" w:color="auto" w:fill="FFFFFF"/>
        </w:rPr>
        <w:t xml:space="preserve">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 w:rsidR="00D07E3D" w:rsidRDefault="00D07E3D"/>
    <w:sectPr w:rsidR="00D07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07"/>
    <w:rsid w:val="00984907"/>
    <w:rsid w:val="00D0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DBFBC-9FE3-41D3-A8B6-BD7D21B0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4907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9849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4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0&amp;dst=2360" TargetMode="External"/><Relationship Id="rId13" Type="http://schemas.openxmlformats.org/officeDocument/2006/relationships/hyperlink" Target="https://login.consultant.ru/link/?req=doc&amp;base=LAW&amp;n=494990&amp;dst=12091" TargetMode="External"/><Relationship Id="rId18" Type="http://schemas.openxmlformats.org/officeDocument/2006/relationships/hyperlink" Target="https://login.consultant.ru/link/?req=doc&amp;base=LAW&amp;n=494990&amp;dst=2479" TargetMode="External"/><Relationship Id="rId26" Type="http://schemas.openxmlformats.org/officeDocument/2006/relationships/hyperlink" Target="https://login.consultant.ru/link/?req=doc&amp;base=LAW&amp;n=494990&amp;dst=246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94990&amp;dst=12410" TargetMode="External"/><Relationship Id="rId7" Type="http://schemas.openxmlformats.org/officeDocument/2006/relationships/hyperlink" Target="https://login.consultant.ru/link/?req=doc&amp;base=LAW&amp;n=494990&amp;dst=2359" TargetMode="External"/><Relationship Id="rId12" Type="http://schemas.openxmlformats.org/officeDocument/2006/relationships/hyperlink" Target="https://login.consultant.ru/link/?req=doc&amp;base=LAW&amp;n=494990&amp;dst=12019" TargetMode="External"/><Relationship Id="rId17" Type="http://schemas.openxmlformats.org/officeDocument/2006/relationships/hyperlink" Target="https://login.consultant.ru/link/?req=doc&amp;base=LAW&amp;n=494990&amp;dst=2488" TargetMode="External"/><Relationship Id="rId25" Type="http://schemas.openxmlformats.org/officeDocument/2006/relationships/hyperlink" Target="https://login.consultant.ru/link/?req=doc&amp;base=LAW&amp;n=482771&amp;dst=10001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4990&amp;dst=12415" TargetMode="External"/><Relationship Id="rId20" Type="http://schemas.openxmlformats.org/officeDocument/2006/relationships/hyperlink" Target="https://login.consultant.ru/link/?req=doc&amp;base=LAW&amp;n=494990&amp;dst=12395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4990" TargetMode="External"/><Relationship Id="rId11" Type="http://schemas.openxmlformats.org/officeDocument/2006/relationships/hyperlink" Target="https://login.consultant.ru/link/?req=doc&amp;base=LAW&amp;n=494990&amp;dst=2213" TargetMode="External"/><Relationship Id="rId24" Type="http://schemas.openxmlformats.org/officeDocument/2006/relationships/hyperlink" Target="https://login.consultant.ru/link/?req=doc&amp;base=LAW&amp;n=482771&amp;dst=100018" TargetMode="External"/><Relationship Id="rId5" Type="http://schemas.openxmlformats.org/officeDocument/2006/relationships/hyperlink" Target="https://login.consultant.ru/link/?req=doc&amp;base=LAW&amp;n=494990" TargetMode="External"/><Relationship Id="rId15" Type="http://schemas.openxmlformats.org/officeDocument/2006/relationships/hyperlink" Target="https://login.consultant.ru/link/?req=doc&amp;base=LAW&amp;n=494990&amp;dst=12092" TargetMode="External"/><Relationship Id="rId23" Type="http://schemas.openxmlformats.org/officeDocument/2006/relationships/hyperlink" Target="https://login.consultant.ru/link/?req=doc&amp;base=LAW&amp;n=494990&amp;dst=12374" TargetMode="External"/><Relationship Id="rId28" Type="http://schemas.openxmlformats.org/officeDocument/2006/relationships/hyperlink" Target="https://login.consultant.ru/link/?req=doc&amp;base=LAW&amp;n=494990&amp;dst=2349" TargetMode="External"/><Relationship Id="rId10" Type="http://schemas.openxmlformats.org/officeDocument/2006/relationships/hyperlink" Target="https://login.consultant.ru/link/?req=doc&amp;base=LAW&amp;n=494990&amp;dst=2360" TargetMode="External"/><Relationship Id="rId19" Type="http://schemas.openxmlformats.org/officeDocument/2006/relationships/hyperlink" Target="https://login.consultant.ru/link/?req=doc&amp;base=LAW&amp;n=494990&amp;dst=12415" TargetMode="External"/><Relationship Id="rId4" Type="http://schemas.openxmlformats.org/officeDocument/2006/relationships/hyperlink" Target="https://login.consultant.ru/link/?req=doc&amp;base=LAW&amp;n=494990&amp;dst=2519" TargetMode="External"/><Relationship Id="rId9" Type="http://schemas.openxmlformats.org/officeDocument/2006/relationships/hyperlink" Target="https://login.consultant.ru/link/?req=doc&amp;base=LAW&amp;n=494990&amp;dst=2359" TargetMode="External"/><Relationship Id="rId14" Type="http://schemas.openxmlformats.org/officeDocument/2006/relationships/hyperlink" Target="https://login.consultant.ru/link/?req=doc&amp;base=LAW&amp;n=494990&amp;dst=12092" TargetMode="External"/><Relationship Id="rId22" Type="http://schemas.openxmlformats.org/officeDocument/2006/relationships/hyperlink" Target="https://login.consultant.ru/link/?req=doc&amp;base=LAW&amp;n=494990&amp;dst=12377" TargetMode="External"/><Relationship Id="rId27" Type="http://schemas.openxmlformats.org/officeDocument/2006/relationships/hyperlink" Target="https://login.consultant.ru/link/?req=doc&amp;base=LAW&amp;n=494990&amp;dst=2348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4013</Words>
  <Characters>22878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Юрьевна Винокурова</dc:creator>
  <cp:keywords/>
  <dc:description/>
  <cp:lastModifiedBy>Наталия Юрьевна Винокурова</cp:lastModifiedBy>
  <cp:revision>1</cp:revision>
  <dcterms:created xsi:type="dcterms:W3CDTF">2025-09-09T18:24:00Z</dcterms:created>
  <dcterms:modified xsi:type="dcterms:W3CDTF">2025-09-09T18:27:00Z</dcterms:modified>
</cp:coreProperties>
</file>