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pPr>
      <w:r>
        <w:rPr/>
      </w:r>
    </w:p>
    <w:p>
      <w:pPr>
        <w:pStyle w:val="3"/>
        <w:rPr>
          <w:b/>
          <w:color w:val="000000"/>
          <w:sz w:val="26"/>
          <w:szCs w:val="26"/>
        </w:rPr>
      </w:pPr>
      <w:r>
        <w:rPr>
          <w:b/>
          <w:color w:val="000000"/>
          <w:sz w:val="26"/>
          <w:szCs w:val="26"/>
        </w:rPr>
      </w:r>
    </w:p>
    <w:p>
      <w:pPr>
        <w:pStyle w:val="3"/>
        <w:rPr>
          <w:b/>
          <w:color w:val="000000"/>
          <w:sz w:val="26"/>
          <w:szCs w:val="26"/>
        </w:rPr>
      </w:pPr>
      <w:r>
        <w:rPr>
          <w:b/>
          <w:color w:val="000000"/>
          <w:sz w:val="26"/>
          <w:szCs w:val="26"/>
        </w:rPr>
      </w:r>
    </w:p>
    <w:p>
      <w:pPr>
        <w:pStyle w:val="3"/>
        <w:rPr>
          <w:b/>
          <w:color w:val="000000"/>
          <w:sz w:val="26"/>
          <w:szCs w:val="26"/>
        </w:rPr>
      </w:pPr>
      <w:r>
        <w:rPr>
          <w:b/>
          <w:color w:val="000000"/>
          <w:sz w:val="26"/>
          <w:szCs w:val="26"/>
        </w:rPr>
      </w:r>
    </w:p>
    <w:p>
      <w:pPr>
        <w:pStyle w:val="3"/>
        <w:rPr>
          <w:b/>
          <w:color w:val="000000"/>
          <w:sz w:val="26"/>
          <w:szCs w:val="26"/>
        </w:rPr>
      </w:pPr>
      <w:r>
        <w:rPr>
          <w:b/>
          <w:color w:val="000000"/>
          <w:sz w:val="26"/>
          <w:szCs w:val="26"/>
        </w:rPr>
      </w:r>
    </w:p>
    <w:p>
      <w:pPr>
        <w:pStyle w:val="3"/>
        <w:rPr>
          <w:b/>
          <w:color w:val="000000"/>
          <w:sz w:val="26"/>
          <w:szCs w:val="26"/>
        </w:rPr>
      </w:pPr>
      <w:r>
        <w:rPr>
          <w:b/>
          <w:color w:val="000000"/>
          <w:sz w:val="26"/>
          <w:szCs w:val="26"/>
        </w:rPr>
      </w:r>
    </w:p>
    <w:p>
      <w:pPr>
        <w:pStyle w:val="3"/>
        <w:rPr>
          <w:b/>
          <w:color w:val="000000"/>
          <w:sz w:val="26"/>
          <w:szCs w:val="26"/>
        </w:rPr>
      </w:pPr>
      <w:r>
        <w:rPr>
          <w:b/>
          <w:color w:val="000000"/>
          <w:sz w:val="26"/>
          <w:szCs w:val="26"/>
        </w:rPr>
      </w:r>
    </w:p>
    <w:p>
      <w:pPr>
        <w:pStyle w:val="3"/>
        <w:rPr>
          <w:b/>
          <w:color w:val="000000"/>
          <w:sz w:val="26"/>
          <w:szCs w:val="26"/>
          <w:lang w:val="en-US"/>
        </w:rPr>
      </w:pPr>
      <w:r>
        <w:rPr>
          <w:b/>
          <w:color w:val="000000"/>
          <w:sz w:val="26"/>
          <w:szCs w:val="26"/>
        </w:rPr>
        <w:t xml:space="preserve">РЕШЕНИЕ № </w:t>
      </w:r>
      <w:r>
        <w:rPr>
          <w:b/>
          <w:color w:val="000000"/>
          <w:sz w:val="26"/>
          <w:szCs w:val="26"/>
          <w:lang w:val="en-US"/>
        </w:rPr>
        <w:t>34</w:t>
      </w:r>
      <w:r>
        <w:rPr>
          <w:b/>
          <w:color w:val="000000"/>
          <w:sz w:val="26"/>
          <w:szCs w:val="26"/>
        </w:rPr>
        <w:t>/202</w:t>
      </w:r>
      <w:r>
        <w:rPr>
          <w:b/>
          <w:color w:val="000000"/>
          <w:sz w:val="26"/>
          <w:szCs w:val="26"/>
          <w:lang w:val="en-US"/>
        </w:rPr>
        <w:t>5</w:t>
      </w:r>
    </w:p>
    <w:p>
      <w:pPr>
        <w:pStyle w:val="Normal"/>
        <w:jc w:val="center"/>
        <w:rPr>
          <w:color w:val="000000"/>
          <w:sz w:val="26"/>
          <w:szCs w:val="26"/>
        </w:rPr>
      </w:pPr>
      <w:r>
        <w:rPr>
          <w:color w:val="000000"/>
          <w:sz w:val="26"/>
          <w:szCs w:val="26"/>
        </w:rPr>
        <w:t>по делу № 023/06/32-339/2025 о нарушении</w:t>
      </w:r>
    </w:p>
    <w:p>
      <w:pPr>
        <w:pStyle w:val="Normal"/>
        <w:jc w:val="center"/>
        <w:rPr>
          <w:color w:val="000000"/>
          <w:sz w:val="26"/>
          <w:szCs w:val="26"/>
        </w:rPr>
      </w:pPr>
      <w:r>
        <w:rPr>
          <w:color w:val="000000"/>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pPr>
        <w:pStyle w:val="Normal"/>
        <w:jc w:val="center"/>
        <w:rPr>
          <w:color w:val="000000"/>
          <w:sz w:val="26"/>
          <w:szCs w:val="26"/>
        </w:rPr>
      </w:pPr>
      <w:r>
        <w:rPr>
          <w:color w:val="000000"/>
          <w:sz w:val="26"/>
          <w:szCs w:val="26"/>
        </w:rPr>
      </w:r>
    </w:p>
    <w:p>
      <w:pPr>
        <w:pStyle w:val="Normal"/>
        <w:rPr>
          <w:color w:val="000000"/>
          <w:sz w:val="26"/>
          <w:szCs w:val="26"/>
        </w:rPr>
      </w:pPr>
      <w:r>
        <w:rPr>
          <w:color w:val="000000"/>
          <w:sz w:val="26"/>
          <w:szCs w:val="26"/>
        </w:rPr>
        <w:t>22 января 202</w:t>
      </w:r>
      <w:r>
        <w:rPr>
          <w:color w:val="000000"/>
          <w:sz w:val="26"/>
          <w:szCs w:val="26"/>
          <w:lang w:val="en-US"/>
        </w:rPr>
        <w:t xml:space="preserve">5 </w:t>
      </w:r>
      <w:r>
        <w:rPr>
          <w:color w:val="000000"/>
          <w:sz w:val="26"/>
          <w:szCs w:val="26"/>
        </w:rPr>
        <w:t>года                                                                                        г. Краснодар</w:t>
      </w:r>
    </w:p>
    <w:p>
      <w:pPr>
        <w:pStyle w:val="Normal"/>
        <w:rPr>
          <w:color w:val="000000"/>
          <w:sz w:val="26"/>
          <w:szCs w:val="26"/>
        </w:rPr>
      </w:pPr>
      <w:r>
        <w:rPr>
          <w:color w:val="000000"/>
          <w:sz w:val="26"/>
          <w:szCs w:val="26"/>
        </w:rPr>
      </w:r>
    </w:p>
    <w:p>
      <w:pPr>
        <w:pStyle w:val="Normal"/>
        <w:ind w:firstLine="709"/>
        <w:jc w:val="both"/>
        <w:rPr>
          <w:sz w:val="26"/>
          <w:szCs w:val="26"/>
        </w:rPr>
      </w:pPr>
      <w:r>
        <w:rPr>
          <w:color w:val="000000"/>
          <w:sz w:val="26"/>
          <w:szCs w:val="26"/>
        </w:rPr>
        <w:t>Комиссия Управления Федеральной антимонопольной службы по</w:t>
      </w:r>
      <w:r>
        <w:rPr>
          <w:color w:val="000000"/>
          <w:sz w:val="26"/>
          <w:szCs w:val="26"/>
          <w:lang w:val="en-US"/>
        </w:rPr>
        <w:t> </w:t>
      </w:r>
      <w:r>
        <w:rPr>
          <w:color w:val="000000"/>
          <w:sz w:val="26"/>
          <w:szCs w:val="26"/>
        </w:rPr>
        <w:t>Краснодарскому краю по контролю в сфере закупок товаров, работ, услуг для</w:t>
      </w:r>
      <w:r>
        <w:rPr>
          <w:color w:val="000000"/>
          <w:sz w:val="26"/>
          <w:szCs w:val="26"/>
          <w:lang w:val="en-US"/>
        </w:rPr>
        <w:t> </w:t>
      </w:r>
      <w:r>
        <w:rPr>
          <w:color w:val="000000"/>
          <w:sz w:val="26"/>
          <w:szCs w:val="26"/>
        </w:rPr>
        <w:t>обеспечения государственных и муниципальных нужд (далее – Комиссия)</w:t>
      </w:r>
      <w:r>
        <w:rPr>
          <w:sz w:val="26"/>
          <w:szCs w:val="26"/>
        </w:rPr>
        <w:t xml:space="preserve"> в</w:t>
      </w:r>
      <w:r>
        <w:rPr>
          <w:sz w:val="26"/>
          <w:szCs w:val="26"/>
          <w:lang w:val="en-US"/>
        </w:rPr>
        <w:t> </w:t>
      </w:r>
      <w:r>
        <w:rPr>
          <w:sz w:val="26"/>
          <w:szCs w:val="26"/>
        </w:rPr>
        <w:t>составе:</w:t>
      </w:r>
    </w:p>
    <w:p>
      <w:pPr>
        <w:pStyle w:val="Normal"/>
        <w:ind w:hanging="0"/>
        <w:jc w:val="both"/>
        <w:rPr>
          <w:sz w:val="26"/>
          <w:szCs w:val="26"/>
        </w:rPr>
      </w:pPr>
      <w:r>
        <w:rPr>
          <w:sz w:val="26"/>
          <w:szCs w:val="26"/>
        </w:rPr>
        <w:t>рассмотрев жалобу ООО «Северо-Кавказский территориальный научно-исследовательский институт агропромышленного комплекса» на действия заказчика – МКУ г. Сочи «УКС», уполномоченного органа – администрации МО г/о г/к Сочи при проведении открытого конкурса в электронной форме на «Подготовку проектной документации и выполнение инженерных изысканий по объекту: «Строительство блока начальной школы по ул. Туапсинская, 11 Центрального района (проектно-изыскательские работы, строительство)» (извещение № 0118300018724001388) 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Normal"/>
        <w:jc w:val="center"/>
        <w:rPr>
          <w:b/>
          <w:sz w:val="26"/>
          <w:szCs w:val="26"/>
        </w:rPr>
      </w:pPr>
      <w:r>
        <w:rPr>
          <w:b/>
          <w:sz w:val="26"/>
          <w:szCs w:val="26"/>
        </w:rPr>
      </w:r>
    </w:p>
    <w:p>
      <w:pPr>
        <w:pStyle w:val="Normal"/>
        <w:rPr>
          <w:b/>
          <w:sz w:val="26"/>
          <w:szCs w:val="26"/>
        </w:rPr>
      </w:pPr>
      <w:r>
        <w:rPr>
          <w:b/>
          <w:sz w:val="26"/>
          <w:szCs w:val="26"/>
        </w:rPr>
      </w:r>
    </w:p>
    <w:p>
      <w:pPr>
        <w:pStyle w:val="Normal"/>
        <w:jc w:val="center"/>
        <w:rPr>
          <w:b/>
          <w:sz w:val="26"/>
          <w:szCs w:val="26"/>
        </w:rPr>
      </w:pPr>
      <w:r>
        <w:rPr>
          <w:b/>
          <w:sz w:val="26"/>
          <w:szCs w:val="26"/>
        </w:rPr>
        <w:t>УСТАНОВИЛА:</w:t>
      </w:r>
    </w:p>
    <w:p>
      <w:pPr>
        <w:pStyle w:val="Normal"/>
        <w:ind w:firstLine="709"/>
        <w:jc w:val="both"/>
        <w:rPr>
          <w:sz w:val="26"/>
          <w:szCs w:val="26"/>
        </w:rPr>
      </w:pPr>
      <w:r>
        <w:rPr>
          <w:sz w:val="26"/>
          <w:szCs w:val="26"/>
        </w:rPr>
      </w:r>
    </w:p>
    <w:p>
      <w:pPr>
        <w:pStyle w:val="Normal"/>
        <w:ind w:firstLine="709"/>
        <w:jc w:val="both"/>
        <w:rPr>
          <w:sz w:val="26"/>
          <w:szCs w:val="26"/>
        </w:rPr>
      </w:pPr>
      <w:r>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pPr>
        <w:pStyle w:val="Normal"/>
        <w:ind w:firstLine="709"/>
        <w:jc w:val="both"/>
        <w:rPr>
          <w:sz w:val="26"/>
          <w:szCs w:val="26"/>
        </w:rPr>
      </w:pPr>
      <w:r>
        <w:rPr>
          <w:sz w:val="26"/>
          <w:szCs w:val="26"/>
        </w:rPr>
        <w:t xml:space="preserve">Заявитель обжалует извещение открытого конкурса в электронной форме, а именно: «Порядок рассмотрения и оценки заявок на участие в конкурсе» составлен с нарушениями ст.32, ст.8 Закона о контрактной системе.  </w:t>
      </w:r>
    </w:p>
    <w:p>
      <w:pPr>
        <w:pStyle w:val="Normal"/>
        <w:ind w:firstLine="708"/>
        <w:jc w:val="both"/>
        <w:rPr>
          <w:sz w:val="26"/>
          <w:szCs w:val="26"/>
        </w:rPr>
      </w:pPr>
      <w:r>
        <w:rPr>
          <w:rFonts w:eastAsia="Calibri"/>
          <w:sz w:val="26"/>
          <w:szCs w:val="26"/>
          <w:lang w:eastAsia="en-US"/>
        </w:rPr>
        <w:t>Представителем Заказчика представлены письменные пояснения по существу доводов жалобы. С жалобой не согласен. Порядок оценки соответствует требованиям Закона о контрактной системе. Приведенное в извещении о закупке описание оценки показателя «качественные характеристики объекта закупки» является достаточно подробным и детализированным, что позволяет участникам закупки в полном объеме подготовить свои предложения по данному показателю. В составе заявки не требуется предоставление готовой проектной документации или готовых разработанных разделов проектно-сметной документации.</w:t>
      </w:r>
    </w:p>
    <w:p>
      <w:pPr>
        <w:pStyle w:val="Normal"/>
        <w:shd w:val="clear" w:color="auto" w:fill="FFFFFF"/>
        <w:ind w:firstLine="709"/>
        <w:jc w:val="both"/>
        <w:rPr>
          <w:sz w:val="26"/>
          <w:szCs w:val="26"/>
        </w:rPr>
      </w:pPr>
      <w:r>
        <w:rPr>
          <w:sz w:val="26"/>
          <w:szCs w:val="26"/>
        </w:rPr>
        <w:t>Рассмотрев представленные материалы, Комиссия пришла к следующим выводам.</w:t>
      </w:r>
    </w:p>
    <w:p>
      <w:pPr>
        <w:pStyle w:val="Normal"/>
        <w:ind w:firstLine="709"/>
        <w:jc w:val="both"/>
        <w:rPr>
          <w:sz w:val="26"/>
          <w:szCs w:val="26"/>
        </w:rPr>
      </w:pPr>
      <w:r>
        <w:rPr>
          <w:sz w:val="26"/>
          <w:szCs w:val="26"/>
        </w:rPr>
        <w:t>Уполномоченным органом – администрацией МО г/к Сочи в ЕИС 24.012.2024 размещено извещение о проведении открытого конкурса в электронной форме на «Подготовку проектной документации и выполнение инженерных изысканий по объекту: «Строительство блока начальной школы по ул. Туапсинская, 11 Центрального района (проектно-изыскательские работы, строительство)» (извещение № 0118300018724001388) с НМЦК 27 462 000,00 рублей. Заказчик – МКУ г. Сочи «УКС».</w:t>
      </w:r>
    </w:p>
    <w:p>
      <w:pPr>
        <w:pStyle w:val="Normal"/>
        <w:suppressAutoHyphens w:val="true"/>
        <w:ind w:firstLine="709"/>
        <w:jc w:val="both"/>
        <w:rPr>
          <w:sz w:val="26"/>
          <w:szCs w:val="26"/>
          <w:lang w:eastAsia="ar-SA"/>
        </w:rPr>
      </w:pPr>
      <w:r>
        <w:rPr>
          <w:sz w:val="26"/>
          <w:szCs w:val="26"/>
          <w:lang w:eastAsia="ar-SA"/>
        </w:rPr>
        <w:t>В соответствии с п.11)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критерии оценки заявок на участие в конкурсах, величины значимости этих критериев в соответствии с Законом о контрактной системе.</w:t>
      </w:r>
    </w:p>
    <w:p>
      <w:pPr>
        <w:pStyle w:val="Normal"/>
        <w:suppressAutoHyphens w:val="true"/>
        <w:ind w:firstLine="709"/>
        <w:jc w:val="both"/>
        <w:rPr>
          <w:sz w:val="26"/>
          <w:szCs w:val="26"/>
          <w:lang w:eastAsia="ar-SA"/>
        </w:rPr>
      </w:pPr>
      <w:r>
        <w:rPr>
          <w:sz w:val="26"/>
          <w:szCs w:val="26"/>
          <w:lang w:eastAsia="ar-SA"/>
        </w:rPr>
        <w:t>Согласно части 1 статьи 32 Закона о контрактной системе, для оценки заявок участников закупки заказчик использует следующие критерии:</w:t>
      </w:r>
    </w:p>
    <w:p>
      <w:pPr>
        <w:pStyle w:val="Normal"/>
        <w:suppressAutoHyphens w:val="true"/>
        <w:ind w:firstLine="709"/>
        <w:jc w:val="both"/>
        <w:rPr>
          <w:sz w:val="26"/>
          <w:szCs w:val="26"/>
          <w:lang w:eastAsia="ar-SA"/>
        </w:rPr>
      </w:pPr>
      <w:r>
        <w:rPr>
          <w:sz w:val="26"/>
          <w:szCs w:val="26"/>
          <w:lang w:eastAsia="ar-SA"/>
        </w:rPr>
        <w:t>1) цена контракта, сумма цен единиц товара, работы, услуги;</w:t>
      </w:r>
    </w:p>
    <w:p>
      <w:pPr>
        <w:pStyle w:val="Normal"/>
        <w:suppressAutoHyphens w:val="true"/>
        <w:ind w:firstLine="709"/>
        <w:jc w:val="both"/>
        <w:rPr>
          <w:sz w:val="26"/>
          <w:szCs w:val="26"/>
          <w:lang w:eastAsia="ar-SA"/>
        </w:rPr>
      </w:pPr>
      <w:r>
        <w:rPr>
          <w:sz w:val="26"/>
          <w:szCs w:val="26"/>
          <w:lang w:eastAsia="ar-SA"/>
        </w:rPr>
        <w:t>2) расходы на эксплуатацию и ремонт товаров, использование результатов работ;</w:t>
      </w:r>
    </w:p>
    <w:p>
      <w:pPr>
        <w:pStyle w:val="Normal"/>
        <w:suppressAutoHyphens w:val="true"/>
        <w:ind w:firstLine="709"/>
        <w:jc w:val="both"/>
        <w:rPr>
          <w:sz w:val="26"/>
          <w:szCs w:val="26"/>
          <w:lang w:eastAsia="ar-SA"/>
        </w:rPr>
      </w:pPr>
      <w:r>
        <w:rPr>
          <w:sz w:val="26"/>
          <w:szCs w:val="26"/>
          <w:lang w:eastAsia="ar-SA"/>
        </w:rPr>
        <w:t>3) качественные, функциональные и экологические характеристики объекта закупки;</w:t>
      </w:r>
    </w:p>
    <w:p>
      <w:pPr>
        <w:pStyle w:val="Normal"/>
        <w:suppressAutoHyphens w:val="true"/>
        <w:ind w:firstLine="709"/>
        <w:jc w:val="both"/>
        <w:rPr>
          <w:sz w:val="26"/>
          <w:szCs w:val="26"/>
          <w:lang w:eastAsia="ar-SA"/>
        </w:rPr>
      </w:pPr>
      <w:r>
        <w:rPr>
          <w:sz w:val="26"/>
          <w:szCs w:val="26"/>
          <w:lang w:eastAsia="ar-SA"/>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Normal"/>
        <w:suppressAutoHyphens w:val="true"/>
        <w:ind w:firstLine="709"/>
        <w:jc w:val="both"/>
        <w:rPr>
          <w:sz w:val="26"/>
          <w:szCs w:val="26"/>
          <w:lang w:eastAsia="ar-SA"/>
        </w:rPr>
      </w:pPr>
      <w:r>
        <w:rPr>
          <w:sz w:val="26"/>
          <w:szCs w:val="26"/>
          <w:lang w:eastAsia="ar-SA"/>
        </w:rPr>
        <w:t>На основании ч.4 ст.32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pPr>
        <w:pStyle w:val="Normal"/>
        <w:suppressAutoHyphens w:val="true"/>
        <w:ind w:firstLine="709"/>
        <w:jc w:val="both"/>
        <w:rPr>
          <w:sz w:val="26"/>
          <w:szCs w:val="26"/>
          <w:lang w:eastAsia="ar-SA"/>
        </w:rPr>
      </w:pPr>
      <w:r>
        <w:rPr>
          <w:sz w:val="26"/>
          <w:szCs w:val="26"/>
          <w:lang w:eastAsia="ar-SA"/>
        </w:rPr>
        <w:t>Часть 8 статьи 32 Закона о контрактной системе гласит,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pPr>
        <w:pStyle w:val="Normal"/>
        <w:suppressAutoHyphens w:val="true"/>
        <w:ind w:firstLine="709"/>
        <w:jc w:val="both"/>
        <w:rPr>
          <w:sz w:val="26"/>
          <w:szCs w:val="26"/>
          <w:lang w:eastAsia="ar-SA"/>
        </w:rPr>
      </w:pPr>
      <w:r>
        <w:rPr>
          <w:sz w:val="26"/>
          <w:szCs w:val="26"/>
          <w:lang w:eastAsia="ar-SA"/>
        </w:rPr>
        <w:t>Пунктом 1 постановления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20.12.2021 № 2369 и признании утратившими силу некоторых актов и отдельных положений некоторых актов Правительства Российской Федерации» (далее – Постановление № 2604) утверждено положение об оценке заявок на участие в закупке товаров, работ, услуг для обеспечения государственных и муниципальных нужд (далее – Положение).</w:t>
      </w:r>
    </w:p>
    <w:p>
      <w:pPr>
        <w:pStyle w:val="Normal"/>
        <w:suppressAutoHyphens w:val="true"/>
        <w:ind w:firstLine="709"/>
        <w:jc w:val="both"/>
        <w:rPr>
          <w:sz w:val="26"/>
          <w:szCs w:val="26"/>
          <w:lang w:eastAsia="ar-SA"/>
        </w:rPr>
      </w:pPr>
      <w:r>
        <w:rPr>
          <w:sz w:val="26"/>
          <w:szCs w:val="26"/>
          <w:lang w:eastAsia="ar-SA"/>
        </w:rPr>
        <w:t>Пунктом 3 Положения определено, что для оценки заявок в соответствии с Положением применяются следующие критерии оценки:</w:t>
      </w:r>
    </w:p>
    <w:p>
      <w:pPr>
        <w:pStyle w:val="Normal"/>
        <w:suppressAutoHyphens w:val="true"/>
        <w:ind w:firstLine="709"/>
        <w:jc w:val="both"/>
        <w:rPr>
          <w:sz w:val="26"/>
          <w:szCs w:val="26"/>
          <w:lang w:eastAsia="ar-SA"/>
        </w:rPr>
      </w:pPr>
      <w:r>
        <w:rPr>
          <w:sz w:val="26"/>
          <w:szCs w:val="26"/>
          <w:lang w:eastAsia="ar-SA"/>
        </w:rPr>
        <w:t>а) цена контракта, сумма цен единиц товара, работы, услуги;</w:t>
      </w:r>
    </w:p>
    <w:p>
      <w:pPr>
        <w:pStyle w:val="Normal"/>
        <w:suppressAutoHyphens w:val="true"/>
        <w:ind w:firstLine="709"/>
        <w:jc w:val="both"/>
        <w:rPr>
          <w:sz w:val="26"/>
          <w:szCs w:val="26"/>
          <w:lang w:eastAsia="ar-SA"/>
        </w:rPr>
      </w:pPr>
      <w:r>
        <w:rPr>
          <w:sz w:val="26"/>
          <w:szCs w:val="26"/>
          <w:lang w:eastAsia="ar-SA"/>
        </w:rPr>
        <w:t>б) расходы;</w:t>
      </w:r>
    </w:p>
    <w:p>
      <w:pPr>
        <w:pStyle w:val="Normal"/>
        <w:suppressAutoHyphens w:val="true"/>
        <w:ind w:firstLine="709"/>
        <w:jc w:val="both"/>
        <w:rPr>
          <w:b/>
          <w:bCs/>
          <w:sz w:val="26"/>
          <w:szCs w:val="26"/>
          <w:u w:val="single"/>
          <w:lang w:eastAsia="ar-SA"/>
        </w:rPr>
      </w:pPr>
      <w:r>
        <w:rPr>
          <w:b/>
          <w:bCs/>
          <w:sz w:val="26"/>
          <w:szCs w:val="26"/>
          <w:u w:val="single"/>
          <w:lang w:eastAsia="ar-SA"/>
        </w:rPr>
        <w:t>в) характеристики объекта закупки;</w:t>
      </w:r>
    </w:p>
    <w:p>
      <w:pPr>
        <w:pStyle w:val="Normal"/>
        <w:suppressAutoHyphens w:val="true"/>
        <w:ind w:firstLine="709"/>
        <w:jc w:val="both"/>
        <w:rPr>
          <w:sz w:val="26"/>
          <w:szCs w:val="26"/>
          <w:lang w:eastAsia="ar-SA"/>
        </w:rPr>
      </w:pPr>
      <w:r>
        <w:rPr>
          <w:sz w:val="26"/>
          <w:szCs w:val="26"/>
          <w:lang w:eastAsia="ar-SA"/>
        </w:rPr>
        <w:t>г) квалификация участников закупки.</w:t>
      </w:r>
    </w:p>
    <w:p>
      <w:pPr>
        <w:pStyle w:val="Normal"/>
        <w:suppressAutoHyphens w:val="true"/>
        <w:ind w:firstLine="709"/>
        <w:jc w:val="both"/>
        <w:rPr>
          <w:sz w:val="26"/>
          <w:szCs w:val="26"/>
          <w:lang w:eastAsia="ar-SA"/>
        </w:rPr>
      </w:pPr>
      <w:r>
        <w:rPr>
          <w:sz w:val="26"/>
          <w:szCs w:val="26"/>
          <w:lang w:eastAsia="ar-SA"/>
        </w:rPr>
        <w:t xml:space="preserve">Пункт 8 Положения гласит, что в случае применения показателей оценки по критериям оценки, предусмотренным </w:t>
      </w:r>
      <w:r>
        <w:fldChar w:fldCharType="begin"/>
      </w:r>
      <w:r>
        <w:rPr>
          <w:rStyle w:val="-"/>
          <w:sz w:val="26"/>
          <w:szCs w:val="26"/>
          <w:lang w:eastAsia="ar-SA"/>
        </w:rPr>
        <w:instrText xml:space="preserve"> HYPERLINK "https://www.consultant.ru/document/cons_doc_LAW_430960/d1edf96efc77f427e55663021d92b4c7064ad147/" \l "dst100026"</w:instrText>
      </w:r>
      <w:r>
        <w:rPr>
          <w:rStyle w:val="-"/>
          <w:sz w:val="26"/>
          <w:szCs w:val="26"/>
          <w:lang w:eastAsia="ar-SA"/>
        </w:rPr>
        <w:fldChar w:fldCharType="separate"/>
      </w:r>
      <w:r>
        <w:rPr>
          <w:rStyle w:val="-"/>
          <w:sz w:val="26"/>
          <w:szCs w:val="26"/>
          <w:lang w:eastAsia="ar-SA"/>
        </w:rPr>
        <w:t>подпунктами "в"</w:t>
      </w:r>
      <w:r>
        <w:rPr>
          <w:rStyle w:val="-"/>
          <w:sz w:val="26"/>
          <w:szCs w:val="26"/>
          <w:lang w:eastAsia="ar-SA"/>
        </w:rPr>
        <w:fldChar w:fldCharType="end"/>
      </w:r>
      <w:r>
        <w:rPr>
          <w:sz w:val="26"/>
          <w:szCs w:val="26"/>
          <w:lang w:eastAsia="ar-SA"/>
        </w:rPr>
        <w:t xml:space="preserve"> и </w:t>
      </w:r>
      <w:r>
        <w:fldChar w:fldCharType="begin"/>
      </w:r>
      <w:r>
        <w:rPr>
          <w:rStyle w:val="-"/>
          <w:sz w:val="26"/>
          <w:szCs w:val="26"/>
          <w:lang w:eastAsia="ar-SA"/>
        </w:rPr>
        <w:instrText xml:space="preserve"> HYPERLINK "https://www.consultant.ru/document/cons_doc_LAW_430960/d1edf96efc77f427e55663021d92b4c7064ad147/" \l "dst100027"</w:instrText>
      </w:r>
      <w:r>
        <w:rPr>
          <w:rStyle w:val="-"/>
          <w:sz w:val="26"/>
          <w:szCs w:val="26"/>
          <w:lang w:eastAsia="ar-SA"/>
        </w:rPr>
        <w:fldChar w:fldCharType="separate"/>
      </w:r>
      <w:r>
        <w:rPr>
          <w:rStyle w:val="-"/>
          <w:sz w:val="26"/>
          <w:szCs w:val="26"/>
          <w:lang w:eastAsia="ar-SA"/>
        </w:rPr>
        <w:t>"г" пункта 3</w:t>
      </w:r>
      <w:r>
        <w:rPr>
          <w:rStyle w:val="-"/>
          <w:sz w:val="26"/>
          <w:szCs w:val="26"/>
          <w:lang w:eastAsia="ar-SA"/>
        </w:rPr>
        <w:fldChar w:fldCharType="end"/>
      </w:r>
      <w:r>
        <w:rPr>
          <w:sz w:val="26"/>
          <w:szCs w:val="26"/>
          <w:lang w:eastAsia="ar-SA"/>
        </w:rPr>
        <w:t xml:space="preserve"> настоящего Положения:</w:t>
      </w:r>
    </w:p>
    <w:p>
      <w:pPr>
        <w:pStyle w:val="Normal"/>
        <w:suppressAutoHyphens w:val="true"/>
        <w:ind w:firstLine="709"/>
        <w:jc w:val="both"/>
        <w:rPr>
          <w:sz w:val="26"/>
          <w:szCs w:val="26"/>
          <w:lang w:eastAsia="ar-SA"/>
        </w:rPr>
      </w:pPr>
      <w:r>
        <w:rPr>
          <w:sz w:val="26"/>
          <w:szCs w:val="26"/>
          <w:lang w:eastAsia="ar-SA"/>
        </w:rPr>
        <w:t>а) применяются детализирующие показатели;</w:t>
      </w:r>
    </w:p>
    <w:p>
      <w:pPr>
        <w:pStyle w:val="Normal"/>
        <w:suppressAutoHyphens w:val="true"/>
        <w:ind w:firstLine="709"/>
        <w:jc w:val="both"/>
        <w:rPr>
          <w:sz w:val="26"/>
          <w:szCs w:val="26"/>
          <w:lang w:eastAsia="ar-SA"/>
        </w:rPr>
      </w:pPr>
      <w:r>
        <w:rPr>
          <w:sz w:val="26"/>
          <w:szCs w:val="26"/>
          <w:lang w:eastAsia="ar-SA"/>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pPr>
        <w:pStyle w:val="Normal"/>
        <w:suppressAutoHyphens w:val="true"/>
        <w:ind w:firstLine="709"/>
        <w:jc w:val="both"/>
        <w:rPr>
          <w:sz w:val="26"/>
          <w:szCs w:val="26"/>
          <w:lang w:eastAsia="ar-SA"/>
        </w:rPr>
      </w:pPr>
      <w:r>
        <w:rPr>
          <w:sz w:val="26"/>
          <w:szCs w:val="26"/>
          <w:lang w:eastAsia="ar-SA"/>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pPr>
        <w:pStyle w:val="Normal"/>
        <w:suppressAutoHyphens w:val="true"/>
        <w:ind w:firstLine="709"/>
        <w:jc w:val="both"/>
        <w:rPr>
          <w:color w:val="000000"/>
          <w:sz w:val="26"/>
          <w:szCs w:val="26"/>
        </w:rPr>
      </w:pPr>
      <w:r>
        <w:rPr>
          <w:color w:val="000000"/>
          <w:sz w:val="26"/>
          <w:szCs w:val="26"/>
        </w:rPr>
        <w:t>Для оценки заявок по показателям оценки, предусмотренным п. 16 Положения, применяются детализирующие показатели, предусматривающие оценку различных характеристик, образующих такие показатели оценки.</w:t>
      </w:r>
      <w:r>
        <w:rPr/>
        <w:t xml:space="preserve"> </w:t>
      </w:r>
      <w:r>
        <w:rPr>
          <w:color w:val="000000"/>
          <w:sz w:val="26"/>
          <w:szCs w:val="26"/>
        </w:rPr>
        <w:t>Для оценки заявок по критерию оценки "характеристики объекта закупки" могут применяться, если иное не предусмотрено настоящим Положением, один или несколько из следующих показателей оценки:</w:t>
      </w:r>
    </w:p>
    <w:p>
      <w:pPr>
        <w:pStyle w:val="Normal"/>
        <w:suppressAutoHyphens w:val="true"/>
        <w:ind w:firstLine="709"/>
        <w:jc w:val="both"/>
        <w:rPr>
          <w:color w:val="000000"/>
          <w:sz w:val="26"/>
          <w:szCs w:val="26"/>
        </w:rPr>
      </w:pPr>
      <w:r>
        <w:rPr>
          <w:color w:val="000000"/>
          <w:sz w:val="26"/>
          <w:szCs w:val="26"/>
        </w:rPr>
        <w:t>а) качественные характеристики объекта закупки;</w:t>
      </w:r>
    </w:p>
    <w:p>
      <w:pPr>
        <w:pStyle w:val="Normal"/>
        <w:suppressAutoHyphens w:val="true"/>
        <w:ind w:firstLine="709"/>
        <w:jc w:val="both"/>
        <w:rPr>
          <w:color w:val="000000"/>
          <w:sz w:val="26"/>
          <w:szCs w:val="26"/>
        </w:rPr>
      </w:pPr>
      <w:r>
        <w:rPr>
          <w:color w:val="000000"/>
          <w:sz w:val="26"/>
          <w:szCs w:val="26"/>
        </w:rPr>
        <w:t>б) функциональные характеристики объекта закупки;</w:t>
      </w:r>
    </w:p>
    <w:p>
      <w:pPr>
        <w:pStyle w:val="Normal"/>
        <w:suppressAutoHyphens w:val="true"/>
        <w:ind w:firstLine="709"/>
        <w:jc w:val="both"/>
        <w:rPr>
          <w:color w:val="000000"/>
          <w:sz w:val="26"/>
          <w:szCs w:val="26"/>
        </w:rPr>
      </w:pPr>
      <w:r>
        <w:rPr>
          <w:color w:val="000000"/>
          <w:sz w:val="26"/>
          <w:szCs w:val="26"/>
        </w:rPr>
        <w:t>в) экологические характеристики объекта закупки.</w:t>
      </w:r>
    </w:p>
    <w:p>
      <w:pPr>
        <w:pStyle w:val="Normal"/>
        <w:ind w:left="20" w:right="20" w:firstLine="700"/>
        <w:jc w:val="both"/>
        <w:rPr>
          <w:color w:val="000000"/>
          <w:sz w:val="26"/>
          <w:szCs w:val="26"/>
        </w:rPr>
      </w:pPr>
      <w:r>
        <w:rPr>
          <w:color w:val="000000"/>
          <w:sz w:val="26"/>
          <w:szCs w:val="26"/>
        </w:rPr>
        <w:t>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"характеристики объекта закупки", по шкале оценки. При этом документом, предусмотренным приложением N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 (п. 22 Положения).</w:t>
      </w:r>
    </w:p>
    <w:p>
      <w:pPr>
        <w:pStyle w:val="Normal"/>
        <w:ind w:left="20" w:right="20" w:firstLine="700"/>
        <w:jc w:val="both"/>
        <w:rPr>
          <w:color w:val="000000"/>
          <w:sz w:val="26"/>
          <w:szCs w:val="26"/>
        </w:rPr>
      </w:pPr>
      <w:r>
        <w:rPr>
          <w:color w:val="000000"/>
          <w:sz w:val="26"/>
          <w:szCs w:val="26"/>
        </w:rPr>
        <w:t>Согласно п. 23 Положения, если в случае, указанном в п. 22 Положения, предусматривается оценка наличия или отсутствия характеристики объекта закупки, шкала оценки должна предусматривать присвоение:</w:t>
      </w:r>
    </w:p>
    <w:p>
      <w:pPr>
        <w:pStyle w:val="Normal"/>
        <w:tabs>
          <w:tab w:val="clear" w:pos="708"/>
          <w:tab w:val="left" w:pos="1162" w:leader="none"/>
        </w:tabs>
        <w:ind w:left="20" w:right="20" w:firstLine="700"/>
        <w:jc w:val="both"/>
        <w:rPr>
          <w:color w:val="000000"/>
          <w:sz w:val="26"/>
          <w:szCs w:val="26"/>
        </w:rPr>
      </w:pPr>
      <w:r>
        <w:rPr>
          <w:color w:val="000000"/>
          <w:sz w:val="26"/>
          <w:szCs w:val="26"/>
        </w:rPr>
        <w:t>а)</w:t>
        <w:tab/>
        <w:t>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pPr>
        <w:pStyle w:val="Normal"/>
        <w:tabs>
          <w:tab w:val="clear" w:pos="708"/>
          <w:tab w:val="left" w:pos="1162" w:leader="none"/>
        </w:tabs>
        <w:ind w:left="20" w:right="20" w:firstLine="700"/>
        <w:jc w:val="both"/>
        <w:rPr>
          <w:color w:val="000000"/>
          <w:sz w:val="26"/>
          <w:szCs w:val="26"/>
        </w:rPr>
      </w:pPr>
      <w:r>
        <w:rPr>
          <w:color w:val="000000"/>
          <w:sz w:val="26"/>
          <w:szCs w:val="26"/>
        </w:rPr>
        <w:t>б)</w:t>
        <w:tab/>
        <w:t>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pPr>
        <w:pStyle w:val="Normal"/>
        <w:ind w:left="20" w:right="20" w:firstLine="700"/>
        <w:jc w:val="both"/>
        <w:rPr>
          <w:color w:val="000000"/>
          <w:sz w:val="26"/>
          <w:szCs w:val="26"/>
        </w:rPr>
      </w:pPr>
      <w:r>
        <w:rPr>
          <w:color w:val="000000"/>
          <w:sz w:val="26"/>
          <w:szCs w:val="26"/>
        </w:rPr>
        <w:t>Согласно извещению о проведении закупки, заказчиком установлены следующие критерии оценки заявок:</w:t>
      </w:r>
    </w:p>
    <w:p>
      <w:pPr>
        <w:pStyle w:val="Normal"/>
        <w:tabs>
          <w:tab w:val="clear" w:pos="708"/>
          <w:tab w:val="left" w:pos="10308" w:leader="none"/>
        </w:tabs>
        <w:rPr>
          <w:i/>
          <w:i/>
          <w:iCs/>
          <w:sz w:val="22"/>
          <w:szCs w:val="22"/>
        </w:rPr>
      </w:pPr>
      <w:r>
        <w:rPr>
          <w:i/>
          <w:iCs/>
          <w:sz w:val="22"/>
          <w:szCs w:val="22"/>
        </w:rPr>
      </w:r>
    </w:p>
    <w:tbl>
      <w:tblPr>
        <w:tblW w:w="10830" w:type="dxa"/>
        <w:jc w:val="left"/>
        <w:tblInd w:w="-572" w:type="dxa"/>
        <w:tblLayout w:type="fixed"/>
        <w:tblCellMar>
          <w:top w:w="102" w:type="dxa"/>
          <w:left w:w="62" w:type="dxa"/>
          <w:bottom w:w="102" w:type="dxa"/>
          <w:right w:w="62" w:type="dxa"/>
        </w:tblCellMar>
        <w:tblLook w:firstRow="1" w:noVBand="1" w:lastRow="0" w:firstColumn="1" w:lastColumn="0" w:noHBand="0" w:val="04a0"/>
      </w:tblPr>
      <w:tblGrid>
        <w:gridCol w:w="393"/>
        <w:gridCol w:w="1279"/>
        <w:gridCol w:w="1083"/>
        <w:gridCol w:w="1084"/>
        <w:gridCol w:w="1083"/>
        <w:gridCol w:w="1377"/>
        <w:gridCol w:w="1675"/>
        <w:gridCol w:w="2854"/>
      </w:tblGrid>
      <w:tr>
        <w:trPr>
          <w:trHeight w:val="998" w:hRule="atLeast"/>
        </w:trPr>
        <w:tc>
          <w:tcPr>
            <w:tcW w:w="39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0308" w:leader="none"/>
              </w:tabs>
              <w:jc w:val="center"/>
              <w:rPr>
                <w:iCs/>
                <w:sz w:val="16"/>
                <w:szCs w:val="16"/>
              </w:rPr>
            </w:pPr>
            <w:r>
              <w:rPr>
                <w:iCs/>
                <w:sz w:val="16"/>
                <w:szCs w:val="16"/>
              </w:rPr>
              <w:t>№</w:t>
            </w:r>
          </w:p>
        </w:tc>
        <w:tc>
          <w:tcPr>
            <w:tcW w:w="127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0308" w:leader="none"/>
              </w:tabs>
              <w:jc w:val="center"/>
              <w:rPr>
                <w:iCs/>
                <w:sz w:val="16"/>
                <w:szCs w:val="16"/>
              </w:rPr>
            </w:pPr>
            <w:r>
              <w:rPr>
                <w:iCs/>
                <w:sz w:val="16"/>
                <w:szCs w:val="16"/>
              </w:rPr>
              <w:t>Критерий оценки</w:t>
            </w:r>
          </w:p>
        </w:tc>
        <w:tc>
          <w:tcPr>
            <w:tcW w:w="108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0308" w:leader="none"/>
              </w:tabs>
              <w:jc w:val="center"/>
              <w:rPr>
                <w:iCs/>
                <w:sz w:val="16"/>
                <w:szCs w:val="16"/>
              </w:rPr>
            </w:pPr>
            <w:r>
              <w:rPr>
                <w:iCs/>
                <w:sz w:val="16"/>
                <w:szCs w:val="16"/>
              </w:rPr>
              <w:t>Значимость критерия оценки, процентов</w:t>
            </w:r>
          </w:p>
        </w:tc>
        <w:tc>
          <w:tcPr>
            <w:tcW w:w="108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0308" w:leader="none"/>
              </w:tabs>
              <w:jc w:val="center"/>
              <w:rPr>
                <w:iCs/>
                <w:sz w:val="16"/>
                <w:szCs w:val="16"/>
              </w:rPr>
            </w:pPr>
            <w:r>
              <w:rPr>
                <w:iCs/>
                <w:sz w:val="16"/>
                <w:szCs w:val="16"/>
              </w:rPr>
              <w:t>Показатель оценки</w:t>
            </w:r>
          </w:p>
        </w:tc>
        <w:tc>
          <w:tcPr>
            <w:tcW w:w="108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0308" w:leader="none"/>
              </w:tabs>
              <w:jc w:val="center"/>
              <w:rPr>
                <w:iCs/>
                <w:sz w:val="16"/>
                <w:szCs w:val="16"/>
              </w:rPr>
            </w:pPr>
            <w:r>
              <w:rPr>
                <w:iCs/>
                <w:sz w:val="16"/>
                <w:szCs w:val="16"/>
              </w:rPr>
              <w:t>Значимость показателя оценки, процентов</w:t>
            </w:r>
          </w:p>
        </w:tc>
        <w:tc>
          <w:tcPr>
            <w:tcW w:w="137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0308" w:leader="none"/>
              </w:tabs>
              <w:jc w:val="center"/>
              <w:rPr>
                <w:iCs/>
                <w:sz w:val="16"/>
                <w:szCs w:val="16"/>
              </w:rPr>
            </w:pPr>
            <w:r>
              <w:rPr>
                <w:iCs/>
                <w:sz w:val="16"/>
                <w:szCs w:val="16"/>
              </w:rPr>
              <w:t>Показатель оценки, детализирующий показатель оценки</w:t>
            </w:r>
          </w:p>
        </w:tc>
        <w:tc>
          <w:tcPr>
            <w:tcW w:w="167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0308" w:leader="none"/>
              </w:tabs>
              <w:jc w:val="center"/>
              <w:rPr>
                <w:iCs/>
                <w:sz w:val="16"/>
                <w:szCs w:val="16"/>
              </w:rPr>
            </w:pPr>
            <w:r>
              <w:rPr>
                <w:iCs/>
                <w:sz w:val="16"/>
                <w:szCs w:val="16"/>
              </w:rPr>
              <w:t>Значимость показателя, детализирующего показатель оценки, процентов</w:t>
            </w:r>
          </w:p>
        </w:tc>
        <w:tc>
          <w:tcPr>
            <w:tcW w:w="285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0308" w:leader="none"/>
              </w:tabs>
              <w:jc w:val="center"/>
              <w:rPr>
                <w:iCs/>
                <w:sz w:val="16"/>
                <w:szCs w:val="16"/>
              </w:rPr>
            </w:pPr>
            <w:r>
              <w:rPr>
                <w:iCs/>
                <w:sz w:val="16"/>
                <w:szCs w:val="16"/>
              </w:rPr>
              <w:t>Формула оценки или шкала оценки</w:t>
            </w:r>
          </w:p>
        </w:tc>
      </w:tr>
      <w:tr>
        <w:trPr>
          <w:trHeight w:val="2010" w:hRule="atLeast"/>
        </w:trPr>
        <w:tc>
          <w:tcPr>
            <w:tcW w:w="39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0308" w:leader="none"/>
              </w:tabs>
              <w:rPr>
                <w:iCs/>
                <w:sz w:val="16"/>
                <w:szCs w:val="16"/>
              </w:rPr>
            </w:pPr>
            <w:r>
              <w:rPr>
                <w:iCs/>
                <w:sz w:val="16"/>
                <w:szCs w:val="16"/>
              </w:rPr>
              <w:t>1.</w:t>
            </w:r>
          </w:p>
        </w:tc>
        <w:tc>
          <w:tcPr>
            <w:tcW w:w="127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0308" w:leader="none"/>
              </w:tabs>
              <w:jc w:val="center"/>
              <w:rPr>
                <w:iCs/>
                <w:sz w:val="16"/>
                <w:szCs w:val="16"/>
              </w:rPr>
            </w:pPr>
            <w:r>
              <w:rPr>
                <w:iCs/>
                <w:sz w:val="16"/>
                <w:szCs w:val="16"/>
              </w:rPr>
              <w:t>Цена контракта, сумма цен единиц товара, работы, услуги</w:t>
            </w:r>
          </w:p>
        </w:tc>
        <w:tc>
          <w:tcPr>
            <w:tcW w:w="108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0308" w:leader="none"/>
              </w:tabs>
              <w:jc w:val="center"/>
              <w:rPr>
                <w:iCs/>
                <w:sz w:val="16"/>
                <w:szCs w:val="16"/>
              </w:rPr>
            </w:pPr>
            <w:r>
              <w:rPr>
                <w:iCs/>
                <w:sz w:val="16"/>
                <w:szCs w:val="16"/>
              </w:rPr>
              <w:t>60</w:t>
            </w:r>
          </w:p>
        </w:tc>
        <w:tc>
          <w:tcPr>
            <w:tcW w:w="108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0308" w:leader="none"/>
              </w:tabs>
              <w:rPr>
                <w:iCs/>
                <w:sz w:val="16"/>
                <w:szCs w:val="16"/>
              </w:rPr>
            </w:pPr>
            <w:r>
              <w:rPr>
                <w:iCs/>
                <w:sz w:val="16"/>
                <w:szCs w:val="16"/>
              </w:rPr>
              <w:t>-</w:t>
            </w:r>
          </w:p>
        </w:tc>
        <w:tc>
          <w:tcPr>
            <w:tcW w:w="108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0308" w:leader="none"/>
              </w:tabs>
              <w:rPr>
                <w:iCs/>
                <w:sz w:val="16"/>
                <w:szCs w:val="16"/>
              </w:rPr>
            </w:pPr>
            <w:r>
              <w:rPr>
                <w:iCs/>
                <w:sz w:val="16"/>
                <w:szCs w:val="16"/>
              </w:rPr>
              <w:t>-</w:t>
            </w:r>
          </w:p>
        </w:tc>
        <w:tc>
          <w:tcPr>
            <w:tcW w:w="137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0308" w:leader="none"/>
              </w:tabs>
              <w:rPr>
                <w:iCs/>
                <w:sz w:val="16"/>
                <w:szCs w:val="16"/>
              </w:rPr>
            </w:pPr>
            <w:r>
              <w:rPr>
                <w:iCs/>
                <w:sz w:val="16"/>
                <w:szCs w:val="16"/>
              </w:rPr>
              <w:t>-</w:t>
            </w:r>
          </w:p>
        </w:tc>
        <w:tc>
          <w:tcPr>
            <w:tcW w:w="167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0308" w:leader="none"/>
              </w:tabs>
              <w:rPr>
                <w:iCs/>
                <w:sz w:val="16"/>
                <w:szCs w:val="16"/>
              </w:rPr>
            </w:pPr>
            <w:r>
              <w:rPr>
                <w:iCs/>
                <w:sz w:val="16"/>
                <w:szCs w:val="16"/>
              </w:rPr>
              <w:t>-</w:t>
            </w:r>
          </w:p>
        </w:tc>
        <w:tc>
          <w:tcPr>
            <w:tcW w:w="285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0308" w:leader="none"/>
              </w:tabs>
              <w:rPr>
                <w:iCs/>
                <w:sz w:val="16"/>
                <w:szCs w:val="16"/>
              </w:rPr>
            </w:pPr>
            <w:r>
              <w:rPr>
                <w:iCs/>
                <w:sz w:val="16"/>
                <w:szCs w:val="16"/>
              </w:rPr>
              <w:t>оценка заявок осуществляется по формулам, предусмотренным</w:t>
            </w:r>
          </w:p>
          <w:p>
            <w:pPr>
              <w:pStyle w:val="Normal"/>
              <w:widowControl w:val="false"/>
              <w:tabs>
                <w:tab w:val="clear" w:pos="708"/>
                <w:tab w:val="left" w:pos="10308" w:leader="none"/>
              </w:tabs>
              <w:rPr>
                <w:iCs/>
                <w:sz w:val="16"/>
                <w:szCs w:val="16"/>
              </w:rPr>
            </w:pPr>
            <w:r>
              <w:rPr>
                <w:iCs/>
                <w:sz w:val="16"/>
                <w:szCs w:val="16"/>
              </w:rPr>
              <w:t>пунктами 9 или 10 Положения</w:t>
            </w:r>
          </w:p>
          <w:p>
            <w:pPr>
              <w:pStyle w:val="Normal"/>
              <w:widowControl w:val="false"/>
              <w:tabs>
                <w:tab w:val="clear" w:pos="708"/>
                <w:tab w:val="left" w:pos="10308" w:leader="none"/>
              </w:tabs>
              <w:rPr>
                <w:iCs/>
                <w:sz w:val="16"/>
                <w:szCs w:val="16"/>
              </w:rPr>
            </w:pPr>
            <w:r>
              <w:rPr>
                <w:iCs/>
                <w:sz w:val="16"/>
                <w:szCs w:val="16"/>
              </w:rPr>
              <w:t>об оценке заявок на участие в</w:t>
            </w:r>
          </w:p>
          <w:p>
            <w:pPr>
              <w:pStyle w:val="Normal"/>
              <w:widowControl w:val="false"/>
              <w:tabs>
                <w:tab w:val="clear" w:pos="708"/>
                <w:tab w:val="left" w:pos="10308" w:leader="none"/>
              </w:tabs>
              <w:rPr>
                <w:iCs/>
                <w:sz w:val="16"/>
                <w:szCs w:val="16"/>
              </w:rPr>
            </w:pPr>
            <w:r>
              <w:rPr>
                <w:iCs/>
                <w:sz w:val="16"/>
                <w:szCs w:val="16"/>
              </w:rPr>
              <w:t xml:space="preserve"> </w:t>
            </w:r>
            <w:r>
              <w:rPr>
                <w:iCs/>
                <w:sz w:val="16"/>
                <w:szCs w:val="16"/>
              </w:rPr>
              <w:t>закупке товаров, работ, услуг</w:t>
            </w:r>
          </w:p>
          <w:p>
            <w:pPr>
              <w:pStyle w:val="Normal"/>
              <w:widowControl w:val="false"/>
              <w:tabs>
                <w:tab w:val="clear" w:pos="708"/>
                <w:tab w:val="left" w:pos="10308" w:leader="none"/>
              </w:tabs>
              <w:rPr>
                <w:iCs/>
                <w:sz w:val="16"/>
                <w:szCs w:val="16"/>
              </w:rPr>
            </w:pPr>
            <w:r>
              <w:rPr>
                <w:iCs/>
                <w:sz w:val="16"/>
                <w:szCs w:val="16"/>
              </w:rPr>
              <w:t xml:space="preserve"> </w:t>
            </w:r>
            <w:r>
              <w:rPr>
                <w:iCs/>
                <w:sz w:val="16"/>
                <w:szCs w:val="16"/>
              </w:rPr>
              <w:t>для обеспечения</w:t>
            </w:r>
          </w:p>
          <w:p>
            <w:pPr>
              <w:pStyle w:val="Normal"/>
              <w:widowControl w:val="false"/>
              <w:tabs>
                <w:tab w:val="clear" w:pos="708"/>
                <w:tab w:val="left" w:pos="10308" w:leader="none"/>
              </w:tabs>
              <w:rPr>
                <w:iCs/>
                <w:sz w:val="16"/>
                <w:szCs w:val="16"/>
              </w:rPr>
            </w:pPr>
            <w:r>
              <w:rPr>
                <w:iCs/>
                <w:sz w:val="16"/>
                <w:szCs w:val="16"/>
              </w:rPr>
              <w:t>государственных и</w:t>
            </w:r>
          </w:p>
          <w:p>
            <w:pPr>
              <w:pStyle w:val="Normal"/>
              <w:widowControl w:val="false"/>
              <w:tabs>
                <w:tab w:val="clear" w:pos="708"/>
                <w:tab w:val="left" w:pos="10308" w:leader="none"/>
              </w:tabs>
              <w:rPr>
                <w:iCs/>
                <w:sz w:val="16"/>
                <w:szCs w:val="16"/>
              </w:rPr>
            </w:pPr>
            <w:r>
              <w:rPr>
                <w:iCs/>
                <w:sz w:val="16"/>
                <w:szCs w:val="16"/>
              </w:rPr>
              <w:t>муниципальных нужд,</w:t>
            </w:r>
          </w:p>
          <w:p>
            <w:pPr>
              <w:pStyle w:val="Normal"/>
              <w:widowControl w:val="false"/>
              <w:tabs>
                <w:tab w:val="clear" w:pos="708"/>
                <w:tab w:val="left" w:pos="10308" w:leader="none"/>
              </w:tabs>
              <w:rPr>
                <w:iCs/>
                <w:sz w:val="16"/>
                <w:szCs w:val="16"/>
              </w:rPr>
            </w:pPr>
            <w:r>
              <w:rPr>
                <w:iCs/>
                <w:sz w:val="16"/>
                <w:szCs w:val="16"/>
              </w:rPr>
              <w:t>утвержденного</w:t>
            </w:r>
          </w:p>
          <w:p>
            <w:pPr>
              <w:pStyle w:val="Normal"/>
              <w:widowControl w:val="false"/>
              <w:tabs>
                <w:tab w:val="clear" w:pos="708"/>
                <w:tab w:val="left" w:pos="10308" w:leader="none"/>
              </w:tabs>
              <w:rPr>
                <w:iCs/>
                <w:sz w:val="16"/>
                <w:szCs w:val="16"/>
              </w:rPr>
            </w:pPr>
            <w:r>
              <w:rPr>
                <w:iCs/>
                <w:sz w:val="16"/>
                <w:szCs w:val="16"/>
              </w:rPr>
              <w:t>Постановлением № 2604 (далее – Положение)</w:t>
            </w:r>
          </w:p>
        </w:tc>
      </w:tr>
      <w:tr>
        <w:trPr>
          <w:trHeight w:val="1257" w:hRule="atLeast"/>
        </w:trPr>
        <w:tc>
          <w:tcPr>
            <w:tcW w:w="39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0308" w:leader="none"/>
              </w:tabs>
              <w:rPr>
                <w:iCs/>
                <w:sz w:val="16"/>
                <w:szCs w:val="16"/>
              </w:rPr>
            </w:pPr>
            <w:r>
              <w:rPr>
                <w:iCs/>
                <w:sz w:val="16"/>
                <w:szCs w:val="16"/>
              </w:rPr>
              <w:t>2.</w:t>
            </w:r>
          </w:p>
        </w:tc>
        <w:tc>
          <w:tcPr>
            <w:tcW w:w="1279"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0308" w:leader="none"/>
              </w:tabs>
              <w:rPr>
                <w:iCs/>
                <w:sz w:val="16"/>
                <w:szCs w:val="16"/>
              </w:rPr>
            </w:pPr>
            <w:r>
              <w:rPr>
                <w:iCs/>
                <w:sz w:val="16"/>
                <w:szCs w:val="16"/>
              </w:rPr>
              <w:t>Качественные, функциональные и экологические характеристики объекта закупки</w:t>
            </w:r>
          </w:p>
        </w:tc>
        <w:tc>
          <w:tcPr>
            <w:tcW w:w="108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0308" w:leader="none"/>
              </w:tabs>
              <w:jc w:val="center"/>
              <w:rPr>
                <w:iCs/>
                <w:sz w:val="16"/>
                <w:szCs w:val="16"/>
              </w:rPr>
            </w:pPr>
            <w:r>
              <w:rPr>
                <w:iCs/>
                <w:sz w:val="16"/>
                <w:szCs w:val="16"/>
              </w:rPr>
              <w:t>40</w:t>
            </w:r>
          </w:p>
        </w:tc>
        <w:tc>
          <w:tcPr>
            <w:tcW w:w="108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0308" w:leader="none"/>
              </w:tabs>
              <w:jc w:val="center"/>
              <w:rPr>
                <w:iCs/>
                <w:sz w:val="16"/>
                <w:szCs w:val="16"/>
              </w:rPr>
            </w:pPr>
            <w:r>
              <w:rPr>
                <w:iCs/>
                <w:sz w:val="16"/>
                <w:szCs w:val="16"/>
              </w:rPr>
              <w:t>качественные характеристики объекта закупки</w:t>
            </w:r>
          </w:p>
        </w:tc>
        <w:tc>
          <w:tcPr>
            <w:tcW w:w="1083"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0308" w:leader="none"/>
              </w:tabs>
              <w:jc w:val="center"/>
              <w:rPr>
                <w:iCs/>
                <w:sz w:val="16"/>
                <w:szCs w:val="16"/>
              </w:rPr>
            </w:pPr>
            <w:r>
              <w:rPr>
                <w:iCs/>
                <w:sz w:val="16"/>
                <w:szCs w:val="16"/>
              </w:rPr>
              <w:t>100</w:t>
            </w:r>
          </w:p>
        </w:tc>
        <w:tc>
          <w:tcPr>
            <w:tcW w:w="137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0308" w:leader="none"/>
              </w:tabs>
              <w:jc w:val="center"/>
              <w:rPr>
                <w:iCs/>
                <w:sz w:val="16"/>
                <w:szCs w:val="16"/>
              </w:rPr>
            </w:pPr>
            <w:r>
              <w:rPr>
                <w:iCs/>
                <w:sz w:val="16"/>
                <w:szCs w:val="16"/>
              </w:rPr>
              <w:t xml:space="preserve">характеристика </w:t>
              <w:br/>
              <w:t>№ 1 (Информационная модель сооружения)</w:t>
            </w:r>
          </w:p>
        </w:tc>
        <w:tc>
          <w:tcPr>
            <w:tcW w:w="1675"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0308" w:leader="none"/>
              </w:tabs>
              <w:jc w:val="center"/>
              <w:rPr>
                <w:iCs/>
                <w:sz w:val="16"/>
                <w:szCs w:val="16"/>
              </w:rPr>
            </w:pPr>
            <w:r>
              <w:rPr>
                <w:iCs/>
                <w:sz w:val="16"/>
                <w:szCs w:val="16"/>
              </w:rPr>
              <w:t>100</w:t>
            </w:r>
          </w:p>
        </w:tc>
        <w:tc>
          <w:tcPr>
            <w:tcW w:w="285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10308" w:leader="none"/>
              </w:tabs>
              <w:rPr>
                <w:iCs/>
                <w:sz w:val="16"/>
                <w:szCs w:val="16"/>
              </w:rPr>
            </w:pPr>
            <w:r>
              <w:rPr>
                <w:iCs/>
                <w:sz w:val="16"/>
                <w:szCs w:val="16"/>
              </w:rPr>
              <w:t>100 баллов заявке</w:t>
            </w:r>
          </w:p>
          <w:p>
            <w:pPr>
              <w:pStyle w:val="Normal"/>
              <w:widowControl w:val="false"/>
              <w:tabs>
                <w:tab w:val="clear" w:pos="708"/>
                <w:tab w:val="left" w:pos="10308" w:leader="none"/>
              </w:tabs>
              <w:rPr>
                <w:iCs/>
                <w:sz w:val="16"/>
                <w:szCs w:val="16"/>
              </w:rPr>
            </w:pPr>
            <w:r>
              <w:rPr>
                <w:iCs/>
                <w:sz w:val="16"/>
                <w:szCs w:val="16"/>
              </w:rPr>
              <w:t xml:space="preserve"> </w:t>
            </w:r>
            <w:r>
              <w:rPr>
                <w:iCs/>
                <w:sz w:val="16"/>
                <w:szCs w:val="16"/>
              </w:rPr>
              <w:t>(части заявки), содержащей предложение о наличии характеристики объекта закупки, а при отсутствии характеристики</w:t>
            </w:r>
          </w:p>
          <w:p>
            <w:pPr>
              <w:pStyle w:val="Normal"/>
              <w:widowControl w:val="false"/>
              <w:tabs>
                <w:tab w:val="clear" w:pos="708"/>
                <w:tab w:val="left" w:pos="10308" w:leader="none"/>
              </w:tabs>
              <w:rPr>
                <w:iCs/>
                <w:sz w:val="16"/>
                <w:szCs w:val="16"/>
              </w:rPr>
            </w:pPr>
            <w:r>
              <w:rPr>
                <w:iCs/>
                <w:sz w:val="16"/>
                <w:szCs w:val="16"/>
              </w:rPr>
              <w:t>объекта закупки - 0 баллов</w:t>
            </w:r>
          </w:p>
        </w:tc>
      </w:tr>
    </w:tbl>
    <w:p>
      <w:pPr>
        <w:pStyle w:val="Normal"/>
        <w:tabs>
          <w:tab w:val="clear" w:pos="708"/>
          <w:tab w:val="left" w:pos="10308" w:leader="none"/>
        </w:tabs>
        <w:rPr>
          <w:sz w:val="16"/>
          <w:szCs w:val="16"/>
        </w:rPr>
      </w:pPr>
      <w:r>
        <w:rPr>
          <w:sz w:val="16"/>
          <w:szCs w:val="16"/>
        </w:rPr>
      </w:r>
    </w:p>
    <w:tbl>
      <w:tblPr>
        <w:tblW w:w="15315" w:type="dxa"/>
        <w:jc w:val="left"/>
        <w:tblInd w:w="0" w:type="dxa"/>
        <w:tblLayout w:type="fixed"/>
        <w:tblCellMar>
          <w:top w:w="102" w:type="dxa"/>
          <w:left w:w="62" w:type="dxa"/>
          <w:bottom w:w="102" w:type="dxa"/>
          <w:right w:w="62" w:type="dxa"/>
        </w:tblCellMar>
        <w:tblLook w:firstRow="1" w:noVBand="1" w:lastRow="0" w:firstColumn="1" w:lastColumn="0" w:noHBand="0" w:val="04a0"/>
      </w:tblPr>
      <w:tblGrid>
        <w:gridCol w:w="15315"/>
      </w:tblGrid>
      <w:tr>
        <w:trPr/>
        <w:tc>
          <w:tcPr>
            <w:tcW w:w="15315" w:type="dxa"/>
            <w:tcBorders/>
          </w:tcPr>
          <w:p>
            <w:pPr>
              <w:pStyle w:val="Normal"/>
              <w:widowControl w:val="false"/>
              <w:numPr>
                <w:ilvl w:val="0"/>
                <w:numId w:val="0"/>
              </w:numPr>
              <w:outlineLvl w:val="2"/>
              <w:rPr>
                <w:sz w:val="16"/>
                <w:szCs w:val="16"/>
              </w:rPr>
            </w:pPr>
            <w:r>
              <w:rPr>
                <w:sz w:val="16"/>
                <w:szCs w:val="16"/>
              </w:rPr>
              <w:t>III. Отдельные положения о применении отдельных критериев оценки, показателей оценки и показателей оценки,</w:t>
            </w:r>
          </w:p>
          <w:p>
            <w:pPr>
              <w:pStyle w:val="Normal"/>
              <w:widowControl w:val="false"/>
              <w:numPr>
                <w:ilvl w:val="0"/>
                <w:numId w:val="0"/>
              </w:numPr>
              <w:outlineLvl w:val="2"/>
              <w:rPr>
                <w:sz w:val="16"/>
                <w:szCs w:val="16"/>
              </w:rPr>
            </w:pPr>
            <w:r>
              <w:rPr>
                <w:sz w:val="16"/>
                <w:szCs w:val="16"/>
              </w:rPr>
              <w:t>детализирующих показатели оценки, предусмотренных разделом II настоящего документа</w:t>
            </w:r>
          </w:p>
        </w:tc>
      </w:tr>
    </w:tbl>
    <w:p>
      <w:pPr>
        <w:pStyle w:val="Normal"/>
        <w:rPr>
          <w:sz w:val="16"/>
          <w:szCs w:val="16"/>
        </w:rPr>
      </w:pPr>
      <w:r>
        <w:rPr>
          <w:sz w:val="16"/>
          <w:szCs w:val="16"/>
        </w:rPr>
      </w:r>
    </w:p>
    <w:tbl>
      <w:tblPr>
        <w:tblW w:w="10845" w:type="dxa"/>
        <w:jc w:val="left"/>
        <w:tblInd w:w="-572" w:type="dxa"/>
        <w:tblLayout w:type="fixed"/>
        <w:tblCellMar>
          <w:top w:w="102" w:type="dxa"/>
          <w:left w:w="62" w:type="dxa"/>
          <w:bottom w:w="102" w:type="dxa"/>
          <w:right w:w="62" w:type="dxa"/>
        </w:tblCellMar>
        <w:tblLook w:firstRow="1" w:noVBand="1" w:lastRow="0" w:firstColumn="1" w:lastColumn="0" w:noHBand="0" w:val="04a0"/>
      </w:tblPr>
      <w:tblGrid>
        <w:gridCol w:w="637"/>
        <w:gridCol w:w="2266"/>
        <w:gridCol w:w="7942"/>
      </w:tblGrid>
      <w:tr>
        <w:trPr>
          <w:trHeight w:val="976" w:hRule="atLeast"/>
        </w:trPr>
        <w:tc>
          <w:tcPr>
            <w:tcW w:w="63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16"/>
                <w:szCs w:val="16"/>
              </w:rPr>
            </w:pPr>
            <w:r>
              <w:rPr>
                <w:sz w:val="16"/>
                <w:szCs w:val="16"/>
              </w:rPr>
              <w:t>№</w:t>
            </w:r>
            <w:r>
              <w:rPr>
                <w:iCs/>
                <w:sz w:val="16"/>
                <w:szCs w:val="16"/>
              </w:rPr>
              <w:t>№</w:t>
            </w:r>
          </w:p>
          <w:p>
            <w:pPr>
              <w:pStyle w:val="Normal"/>
              <w:widowControl w:val="false"/>
              <w:rPr>
                <w:sz w:val="16"/>
                <w:szCs w:val="16"/>
              </w:rPr>
            </w:pPr>
            <w:r>
              <w:rPr>
                <w:sz w:val="16"/>
                <w:szCs w:val="16"/>
              </w:rPr>
              <w:t>№</w:t>
            </w:r>
          </w:p>
          <w:p>
            <w:pPr>
              <w:pStyle w:val="Normal"/>
              <w:widowControl w:val="false"/>
              <w:rPr>
                <w:sz w:val="16"/>
                <w:szCs w:val="16"/>
              </w:rPr>
            </w:pPr>
            <w:r>
              <w:rPr>
                <w:sz w:val="16"/>
                <w:szCs w:val="16"/>
              </w:rPr>
            </w:r>
          </w:p>
        </w:tc>
        <w:tc>
          <w:tcPr>
            <w:tcW w:w="2266" w:type="dxa"/>
            <w:tcBorders>
              <w:top w:val="single" w:sz="4" w:space="0" w:color="000000"/>
              <w:left w:val="single" w:sz="4" w:space="0" w:color="000000"/>
              <w:bottom w:val="single" w:sz="4" w:space="0" w:color="000000"/>
              <w:right w:val="single" w:sz="4" w:space="0" w:color="000000"/>
            </w:tcBorders>
          </w:tcPr>
          <w:p>
            <w:pPr>
              <w:pStyle w:val="Normal"/>
              <w:widowControl w:val="false"/>
              <w:ind w:left="-279" w:firstLine="288"/>
              <w:jc w:val="center"/>
              <w:rPr>
                <w:sz w:val="16"/>
                <w:szCs w:val="16"/>
              </w:rPr>
            </w:pPr>
            <w:r>
              <w:rPr>
                <w:sz w:val="16"/>
                <w:szCs w:val="16"/>
              </w:rPr>
              <w:t>Наименование критерия оценки, показателя оценки, показателя</w:t>
            </w:r>
          </w:p>
          <w:p>
            <w:pPr>
              <w:pStyle w:val="Normal"/>
              <w:widowControl w:val="false"/>
              <w:ind w:left="-279" w:firstLine="288"/>
              <w:jc w:val="center"/>
              <w:rPr>
                <w:sz w:val="16"/>
                <w:szCs w:val="16"/>
              </w:rPr>
            </w:pPr>
            <w:r>
              <w:rPr>
                <w:sz w:val="16"/>
                <w:szCs w:val="16"/>
              </w:rPr>
              <w:t>оценки, детализирующего показатель оценки, при применении</w:t>
            </w:r>
          </w:p>
          <w:p>
            <w:pPr>
              <w:pStyle w:val="Normal"/>
              <w:widowControl w:val="false"/>
              <w:ind w:left="-279" w:firstLine="288"/>
              <w:jc w:val="center"/>
              <w:rPr>
                <w:sz w:val="16"/>
                <w:szCs w:val="16"/>
              </w:rPr>
            </w:pPr>
            <w:r>
              <w:rPr>
                <w:sz w:val="16"/>
                <w:szCs w:val="16"/>
              </w:rPr>
              <w:t>которого устанавливается положение, предусмотренное графой</w:t>
            </w:r>
          </w:p>
        </w:tc>
        <w:tc>
          <w:tcPr>
            <w:tcW w:w="7942" w:type="dxa"/>
            <w:tcBorders>
              <w:top w:val="single" w:sz="4" w:space="0" w:color="000000"/>
              <w:left w:val="single" w:sz="4" w:space="0" w:color="000000"/>
              <w:bottom w:val="single" w:sz="4" w:space="0" w:color="000000"/>
              <w:right w:val="single" w:sz="4" w:space="0" w:color="000000"/>
            </w:tcBorders>
          </w:tcPr>
          <w:p>
            <w:pPr>
              <w:pStyle w:val="Normal"/>
              <w:widowControl w:val="false"/>
              <w:ind w:hanging="340"/>
              <w:jc w:val="center"/>
              <w:rPr>
                <w:sz w:val="16"/>
                <w:szCs w:val="16"/>
              </w:rPr>
            </w:pPr>
            <w:r>
              <w:rPr>
                <w:sz w:val="16"/>
                <w:szCs w:val="16"/>
              </w:rPr>
              <w:t>Положение о применения критерия оценки, показателя оценки, показателя оценки, детализирующего</w:t>
            </w:r>
          </w:p>
          <w:p>
            <w:pPr>
              <w:pStyle w:val="Normal"/>
              <w:widowControl w:val="false"/>
              <w:ind w:hanging="340"/>
              <w:jc w:val="center"/>
              <w:rPr>
                <w:sz w:val="16"/>
                <w:szCs w:val="16"/>
              </w:rPr>
            </w:pPr>
            <w:r>
              <w:rPr>
                <w:sz w:val="16"/>
                <w:szCs w:val="16"/>
              </w:rPr>
              <w:t xml:space="preserve"> </w:t>
            </w:r>
            <w:r>
              <w:rPr>
                <w:sz w:val="16"/>
                <w:szCs w:val="16"/>
              </w:rPr>
              <w:t>показатель оценки</w:t>
            </w:r>
          </w:p>
        </w:tc>
      </w:tr>
      <w:tr>
        <w:trPr>
          <w:trHeight w:val="88" w:hRule="atLeast"/>
        </w:trPr>
        <w:tc>
          <w:tcPr>
            <w:tcW w:w="63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16"/>
                <w:szCs w:val="16"/>
              </w:rPr>
            </w:pPr>
            <w:r>
              <w:rPr>
                <w:sz w:val="16"/>
                <w:szCs w:val="16"/>
              </w:rPr>
              <w:t>1</w:t>
            </w:r>
          </w:p>
        </w:tc>
        <w:tc>
          <w:tcPr>
            <w:tcW w:w="2266"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16"/>
                <w:szCs w:val="16"/>
              </w:rPr>
            </w:pPr>
            <w:bookmarkStart w:id="0" w:name="P431"/>
            <w:bookmarkEnd w:id="0"/>
            <w:r>
              <w:rPr>
                <w:sz w:val="16"/>
                <w:szCs w:val="16"/>
              </w:rPr>
              <w:t>2</w:t>
            </w:r>
          </w:p>
        </w:tc>
        <w:tc>
          <w:tcPr>
            <w:tcW w:w="7942"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16"/>
                <w:szCs w:val="16"/>
              </w:rPr>
            </w:pPr>
            <w:bookmarkStart w:id="1" w:name="P432"/>
            <w:bookmarkEnd w:id="1"/>
            <w:r>
              <w:rPr>
                <w:sz w:val="16"/>
                <w:szCs w:val="16"/>
              </w:rPr>
              <w:t>3</w:t>
            </w:r>
          </w:p>
        </w:tc>
      </w:tr>
      <w:tr>
        <w:trPr>
          <w:trHeight w:val="88" w:hRule="atLeast"/>
        </w:trPr>
        <w:tc>
          <w:tcPr>
            <w:tcW w:w="63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16"/>
                <w:szCs w:val="16"/>
              </w:rPr>
            </w:pPr>
            <w:r>
              <w:rPr>
                <w:sz w:val="16"/>
                <w:szCs w:val="16"/>
              </w:rPr>
              <w:t>1</w:t>
            </w:r>
          </w:p>
        </w:tc>
        <w:tc>
          <w:tcPr>
            <w:tcW w:w="1020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16"/>
                <w:szCs w:val="16"/>
              </w:rPr>
            </w:pPr>
            <w:r>
              <w:rPr>
                <w:sz w:val="16"/>
                <w:szCs w:val="16"/>
              </w:rPr>
              <w:t>Критерий оценки «</w:t>
            </w:r>
            <w:r>
              <w:rPr>
                <w:iCs/>
                <w:sz w:val="16"/>
                <w:szCs w:val="16"/>
              </w:rPr>
              <w:t>Качественные, функциональные и экологические характеристики объекта закупки»</w:t>
            </w:r>
          </w:p>
        </w:tc>
      </w:tr>
      <w:tr>
        <w:trPr>
          <w:trHeight w:val="88" w:hRule="atLeast"/>
        </w:trPr>
        <w:tc>
          <w:tcPr>
            <w:tcW w:w="63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16"/>
                <w:szCs w:val="16"/>
              </w:rPr>
            </w:pPr>
            <w:r>
              <w:rPr>
                <w:sz w:val="16"/>
                <w:szCs w:val="16"/>
              </w:rPr>
              <w:t>1.1</w:t>
            </w:r>
          </w:p>
        </w:tc>
        <w:tc>
          <w:tcPr>
            <w:tcW w:w="10208"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jc w:val="center"/>
              <w:rPr>
                <w:sz w:val="16"/>
                <w:szCs w:val="16"/>
              </w:rPr>
            </w:pPr>
            <w:r>
              <w:rPr>
                <w:iCs/>
                <w:sz w:val="16"/>
                <w:szCs w:val="16"/>
              </w:rPr>
              <w:t>Показатель оценки «качественные характеристики объекта закупки»</w:t>
            </w:r>
          </w:p>
        </w:tc>
      </w:tr>
      <w:tr>
        <w:trPr>
          <w:trHeight w:val="88" w:hRule="atLeast"/>
        </w:trPr>
        <w:tc>
          <w:tcPr>
            <w:tcW w:w="637" w:type="dxa"/>
            <w:tcBorders>
              <w:top w:val="single" w:sz="4" w:space="0" w:color="000000"/>
              <w:left w:val="single" w:sz="4" w:space="0" w:color="000000"/>
              <w:bottom w:val="single" w:sz="4" w:space="0" w:color="000000"/>
              <w:right w:val="single" w:sz="4" w:space="0" w:color="000000"/>
            </w:tcBorders>
          </w:tcPr>
          <w:p>
            <w:pPr>
              <w:pStyle w:val="Normal"/>
              <w:widowControl w:val="false"/>
              <w:jc w:val="center"/>
              <w:rPr/>
            </w:pPr>
            <w:r>
              <w:rPr/>
              <w:t>1.1.1</w:t>
            </w:r>
          </w:p>
        </w:tc>
        <w:tc>
          <w:tcPr>
            <w:tcW w:w="2266" w:type="dxa"/>
            <w:tcBorders>
              <w:top w:val="single" w:sz="4" w:space="0" w:color="000000"/>
              <w:left w:val="single" w:sz="4" w:space="0" w:color="000000"/>
              <w:bottom w:val="single" w:sz="4" w:space="0" w:color="000000"/>
              <w:right w:val="single" w:sz="4" w:space="0" w:color="000000"/>
            </w:tcBorders>
          </w:tcPr>
          <w:p>
            <w:pPr>
              <w:pStyle w:val="Normal"/>
              <w:widowControl w:val="false"/>
              <w:rPr/>
            </w:pPr>
            <w:r>
              <w:rPr/>
              <w:t>Детализирующий показатели оценки:</w:t>
            </w:r>
          </w:p>
          <w:p>
            <w:pPr>
              <w:pStyle w:val="Normal"/>
              <w:widowControl w:val="false"/>
              <w:rPr/>
            </w:pPr>
            <w:r>
              <w:rPr>
                <w:iCs/>
              </w:rPr>
              <w:t>характеристика № 1 (Информационная модель здания)</w:t>
            </w:r>
          </w:p>
          <w:p>
            <w:pPr>
              <w:pStyle w:val="Normal"/>
              <w:widowControl w:val="false"/>
              <w:jc w:val="center"/>
              <w:rPr/>
            </w:pPr>
            <w:r>
              <w:rPr/>
            </w:r>
          </w:p>
        </w:tc>
        <w:tc>
          <w:tcPr>
            <w:tcW w:w="7942" w:type="dxa"/>
            <w:tcBorders>
              <w:top w:val="single" w:sz="4" w:space="0" w:color="000000"/>
              <w:left w:val="single" w:sz="4" w:space="0" w:color="000000"/>
              <w:bottom w:val="single" w:sz="4" w:space="0" w:color="000000"/>
              <w:right w:val="single" w:sz="4" w:space="0" w:color="000000"/>
            </w:tcBorders>
          </w:tcPr>
          <w:p>
            <w:pPr>
              <w:pStyle w:val="Normal"/>
              <w:widowControl w:val="false"/>
              <w:rPr/>
            </w:pPr>
            <w:r>
              <w:rPr/>
              <w:t xml:space="preserve">Под Информационной моделью </w:t>
            </w:r>
            <w:r>
              <w:rPr>
                <w:iCs/>
              </w:rPr>
              <w:t xml:space="preserve">здания </w:t>
            </w:r>
            <w:r>
              <w:rPr/>
              <w:t>для целей предмета оценки понимается изготовление участником конкурса в первой части заявки планов, эскизов,</w:t>
            </w:r>
          </w:p>
          <w:p>
            <w:pPr>
              <w:pStyle w:val="Normal"/>
              <w:widowControl w:val="false"/>
              <w:rPr/>
            </w:pPr>
            <w:r>
              <w:rPr/>
              <w:t>визуализации, описания будущего Объекта в формате графического буклета с</w:t>
            </w:r>
          </w:p>
          <w:p>
            <w:pPr>
              <w:pStyle w:val="Normal"/>
              <w:widowControl w:val="false"/>
              <w:rPr/>
            </w:pPr>
            <w:r>
              <w:rPr/>
              <w:t xml:space="preserve"> </w:t>
            </w:r>
            <w:r>
              <w:rPr/>
              <w:t>текстовой частью в строгом соответствии с требованиями, которые изложены в документах закупки, в т.ч. в Описании объекта закупки (техническом задании –</w:t>
            </w:r>
          </w:p>
          <w:p>
            <w:pPr>
              <w:pStyle w:val="Normal"/>
              <w:widowControl w:val="false"/>
              <w:rPr/>
            </w:pPr>
            <w:r>
              <w:rPr/>
              <w:t>Задании на проектирование).</w:t>
            </w:r>
          </w:p>
          <w:p>
            <w:pPr>
              <w:pStyle w:val="Normal"/>
              <w:widowControl w:val="false"/>
              <w:rPr/>
            </w:pPr>
            <w:r>
              <w:rPr/>
              <w:t xml:space="preserve">При оценке </w:t>
            </w:r>
            <w:r>
              <w:rPr>
                <w:iCs/>
              </w:rPr>
              <w:t>качественной характеристики объекта закупки</w:t>
            </w:r>
            <w:r>
              <w:rPr/>
              <w:t xml:space="preserve"> баллы присуждаются</w:t>
            </w:r>
          </w:p>
          <w:p>
            <w:pPr>
              <w:pStyle w:val="Normal"/>
              <w:widowControl w:val="false"/>
              <w:rPr/>
            </w:pPr>
            <w:r>
              <w:rPr/>
              <w:t>только на основании документально подтвержденной информации (на основании представленных документов):</w:t>
            </w:r>
          </w:p>
          <w:p>
            <w:pPr>
              <w:pStyle w:val="Normal"/>
              <w:widowControl w:val="false"/>
              <w:rPr/>
            </w:pPr>
            <w:r>
              <w:rPr/>
              <w:t>1. Пояснительная записка в составе:</w:t>
            </w:r>
          </w:p>
          <w:p>
            <w:pPr>
              <w:pStyle w:val="Normal"/>
              <w:widowControl w:val="false"/>
              <w:rPr/>
            </w:pPr>
            <w:r>
              <w:rPr/>
              <w:t>- описание концепции;</w:t>
            </w:r>
          </w:p>
          <w:p>
            <w:pPr>
              <w:pStyle w:val="Normal"/>
              <w:widowControl w:val="false"/>
              <w:rPr/>
            </w:pPr>
            <w:r>
              <w:rPr/>
              <w:t>- основные проектные решения с привязкой к технико-экономическим показателям проекта;</w:t>
            </w:r>
          </w:p>
          <w:p>
            <w:pPr>
              <w:pStyle w:val="Normal"/>
              <w:widowControl w:val="false"/>
              <w:rPr/>
            </w:pPr>
            <w:r>
              <w:rPr/>
              <w:t>- оценка градостроительных режимов, в том числе сведений генерального плана,</w:t>
            </w:r>
          </w:p>
          <w:p>
            <w:pPr>
              <w:pStyle w:val="Normal"/>
              <w:widowControl w:val="false"/>
              <w:rPr/>
            </w:pPr>
            <w:r>
              <w:rPr/>
              <w:t>правил землепользования и застройки, публичной кадастровой карты;</w:t>
            </w:r>
          </w:p>
          <w:p>
            <w:pPr>
              <w:pStyle w:val="Normal"/>
              <w:widowControl w:val="false"/>
              <w:rPr/>
            </w:pPr>
            <w:r>
              <w:rPr/>
              <w:t>- предварительный расчет нагрузок па инженерные сети исходя из сопоставимых</w:t>
            </w:r>
          </w:p>
          <w:p>
            <w:pPr>
              <w:pStyle w:val="Normal"/>
              <w:widowControl w:val="false"/>
              <w:rPr/>
            </w:pPr>
            <w:r>
              <w:rPr/>
              <w:t>объектов аналогов.</w:t>
            </w:r>
          </w:p>
          <w:p>
            <w:pPr>
              <w:pStyle w:val="Normal"/>
              <w:widowControl w:val="false"/>
              <w:rPr/>
            </w:pPr>
            <w:r>
              <w:rPr/>
              <w:t>2. Графические материалы в составе:</w:t>
            </w:r>
          </w:p>
          <w:p>
            <w:pPr>
              <w:pStyle w:val="Normal"/>
              <w:widowControl w:val="false"/>
              <w:rPr/>
            </w:pPr>
            <w:r>
              <w:rPr/>
              <w:t>- фотоматериалы прилегающей территории не менее 10 фотографий;</w:t>
            </w:r>
          </w:p>
          <w:p>
            <w:pPr>
              <w:pStyle w:val="Normal"/>
              <w:widowControl w:val="false"/>
              <w:rPr/>
            </w:pPr>
            <w:r>
              <w:rPr/>
              <w:t>- ситуационный план, с размещением на земельном участке проектируемых объектов.</w:t>
            </w:r>
          </w:p>
          <w:p>
            <w:pPr>
              <w:pStyle w:val="Normal"/>
              <w:widowControl w:val="false"/>
              <w:rPr/>
            </w:pPr>
            <w:r>
              <w:rPr/>
              <w:t>- развертка фасадов по улицам (проездам);</w:t>
            </w:r>
          </w:p>
          <w:p>
            <w:pPr>
              <w:pStyle w:val="Normal"/>
              <w:widowControl w:val="false"/>
              <w:rPr/>
            </w:pPr>
            <w:r>
              <w:rPr/>
              <w:t>- разрезы здания, планы здания, разрезы, за исключением повторяющихся этажей</w:t>
            </w:r>
          </w:p>
          <w:p>
            <w:pPr>
              <w:pStyle w:val="Normal"/>
              <w:widowControl w:val="false"/>
              <w:rPr/>
            </w:pPr>
            <w:r>
              <w:rPr/>
              <w:t>3. 3D – визуализация</w:t>
            </w:r>
          </w:p>
          <w:p>
            <w:pPr>
              <w:pStyle w:val="Normal"/>
              <w:widowControl w:val="false"/>
              <w:rPr/>
            </w:pPr>
            <w:r>
              <w:rPr/>
              <w:t>Представляемые участником в заявке на участие в электронном конкурсе сведения должны быть конкретными, четкими, достоверными, однозначным и не допускать двусмысленного толкования.</w:t>
            </w:r>
          </w:p>
        </w:tc>
      </w:tr>
    </w:tbl>
    <w:p>
      <w:pPr>
        <w:pStyle w:val="Normal"/>
        <w:tabs>
          <w:tab w:val="clear" w:pos="708"/>
          <w:tab w:val="left" w:pos="1154" w:leader="none"/>
        </w:tabs>
        <w:spacing w:lineRule="exact" w:line="322"/>
        <w:ind w:left="880" w:hanging="0"/>
        <w:jc w:val="both"/>
        <w:rPr>
          <w:color w:val="000000"/>
        </w:rPr>
      </w:pPr>
      <w:r>
        <w:rPr>
          <w:color w:val="000000"/>
        </w:rPr>
      </w:r>
    </w:p>
    <w:p>
      <w:pPr>
        <w:pStyle w:val="Normal"/>
        <w:ind w:firstLine="567"/>
        <w:jc w:val="both"/>
        <w:rPr>
          <w:color w:val="000000"/>
          <w:sz w:val="26"/>
          <w:szCs w:val="26"/>
        </w:rPr>
      </w:pPr>
      <w:r>
        <w:rPr>
          <w:color w:val="000000"/>
          <w:sz w:val="26"/>
          <w:szCs w:val="26"/>
        </w:rPr>
        <w:t>Шкала оценки установлена таким образом, что в случае предоставления всех сведений, поименованных сведений участник получает 100 баллов, при их отсутствии - 0 баллов, то есть промежуточной оценки, а также формулы ее исчисления (по частично предоставленным документам к заявке) по данному критерию документацией не предусмотрено, в том числе в связи с тем, что формула не подразумевает промежуточные оценочные суждения (то есть или представлено- 100, или не представлено- 0).</w:t>
      </w:r>
    </w:p>
    <w:p>
      <w:pPr>
        <w:pStyle w:val="Normal"/>
        <w:ind w:firstLine="567"/>
        <w:jc w:val="both"/>
        <w:rPr>
          <w:color w:val="000000"/>
          <w:sz w:val="26"/>
          <w:szCs w:val="26"/>
        </w:rPr>
      </w:pPr>
      <w:r>
        <w:rPr>
          <w:color w:val="000000"/>
          <w:sz w:val="26"/>
          <w:szCs w:val="26"/>
        </w:rPr>
        <w:t>Согласно содержания показателя качественной характеристики объекта закупки в составе заявки участнику конкурса  необходимо предоставить так называемый эскизный проект (эскиз, визуализация, фотоматериалы, концепция будущего проекта), описание будущего объекта в соответствии с требованиями, которые изложены в документации, в т.ч. в Задании на проектирование, то есть участник конкурса должен иметь представление об участке проектирования.</w:t>
      </w:r>
    </w:p>
    <w:p>
      <w:pPr>
        <w:pStyle w:val="Normal"/>
        <w:ind w:firstLine="567"/>
        <w:jc w:val="both"/>
        <w:rPr>
          <w:color w:val="000000"/>
          <w:sz w:val="26"/>
          <w:szCs w:val="26"/>
        </w:rPr>
      </w:pPr>
      <w:r>
        <w:rPr>
          <w:color w:val="000000"/>
          <w:sz w:val="26"/>
          <w:szCs w:val="26"/>
        </w:rPr>
        <w:t xml:space="preserve">В составе заявки участнику конкурса не требуется и предоставление готового проекта (разработанных разделов проектно-сметной документации), только концептуальная привязка разрабатываемой в последующем школе к существующим условиям, не требуется разрабатывать BIM-модель в стадии проекта на момент подачи заявки (в программных комплексах) объекта капитального строительства, только в ходе проектирования. </w:t>
      </w:r>
    </w:p>
    <w:p>
      <w:pPr>
        <w:pStyle w:val="Normal"/>
        <w:ind w:firstLine="567"/>
        <w:jc w:val="both"/>
        <w:rPr>
          <w:color w:val="000000"/>
          <w:sz w:val="26"/>
          <w:szCs w:val="26"/>
          <w:lang w:bidi="ru-RU"/>
        </w:rPr>
      </w:pPr>
      <w:r>
        <w:rPr>
          <w:color w:val="000000"/>
          <w:sz w:val="26"/>
          <w:szCs w:val="26"/>
          <w:lang w:bidi="ru-RU"/>
        </w:rPr>
        <w:t xml:space="preserve">Заказчиком предлагается предоставить видение проектной организацией реализации объекта, вписывания его в окружающую среду, с учетом регламентов застройки. То есть, Заказчику необходимо наличие предоставленных проектной организацией концептуальных решений и материалов по увязке, посаде общеобразовательной организации в сложившейся застройке, с учетом фотоматериалов, подтверждающих освидетельствование объекта потенциальным участником. </w:t>
      </w:r>
    </w:p>
    <w:p>
      <w:pPr>
        <w:pStyle w:val="Normal"/>
        <w:ind w:firstLine="567"/>
        <w:jc w:val="both"/>
        <w:rPr>
          <w:color w:val="000000"/>
          <w:sz w:val="26"/>
          <w:szCs w:val="26"/>
          <w:lang w:bidi="ru-RU"/>
        </w:rPr>
      </w:pPr>
      <w:r>
        <w:rPr>
          <w:color w:val="000000"/>
          <w:sz w:val="26"/>
          <w:szCs w:val="26"/>
          <w:lang w:bidi="ru-RU"/>
        </w:rPr>
        <w:t xml:space="preserve">Соответственно, ситуационный план - эскизное изображение размещения (посадка) объекта на земельном участке с соответствующим кадастровым номером, с учетом фотоматериалов, подготовленных применительно к участку. Изготовление данного эскиза так же не подразумевает использование графических материалов и сведений физически недоступных участнику закупки. От участника цветовое решение, архитектурно-художественное обоснование также не требуется. Разработать раздел 2 «Схема планировочной организации земельного участка» (постановление Правительства РФ № 87 от 16.02.2008) не требуется. Заказчик не требует предоставления в составе заявки готовых проектных решений, разделов проектной документации согласно постановлению Правительства РФ № 87 от 16.02.2008 </w:t>
      </w:r>
      <w:r>
        <w:rPr>
          <w:iCs/>
          <w:color w:val="000000"/>
          <w:sz w:val="26"/>
          <w:szCs w:val="26"/>
          <w:lang w:bidi="ru-RU"/>
        </w:rPr>
        <w:t>«О</w:t>
      </w:r>
      <w:r>
        <w:rPr>
          <w:color w:val="000000"/>
          <w:sz w:val="26"/>
          <w:szCs w:val="26"/>
          <w:lang w:bidi="ru-RU"/>
        </w:rPr>
        <w:t xml:space="preserve"> составе разделов проектной документации и требовании к их содержанию», только концептуальная привязка (в формате графического буклета с текстовой частью (в формате </w:t>
      </w:r>
      <w:r>
        <w:rPr>
          <w:color w:val="000000"/>
          <w:sz w:val="26"/>
          <w:szCs w:val="26"/>
          <w:lang w:val="en-US" w:bidi="ru-RU"/>
        </w:rPr>
        <w:t>PDF</w:t>
      </w:r>
      <w:r>
        <w:rPr>
          <w:color w:val="000000"/>
          <w:sz w:val="26"/>
          <w:szCs w:val="26"/>
          <w:lang w:bidi="ru-RU"/>
        </w:rPr>
        <w:t xml:space="preserve"> или аналогичной программы) предполагаемого к проектированию, в последующем, объекта к существующим условиям.</w:t>
      </w:r>
    </w:p>
    <w:p>
      <w:pPr>
        <w:pStyle w:val="Normal"/>
        <w:ind w:firstLine="567"/>
        <w:jc w:val="both"/>
        <w:rPr>
          <w:color w:val="000000"/>
          <w:sz w:val="26"/>
          <w:szCs w:val="26"/>
          <w:lang w:bidi="ru-RU"/>
        </w:rPr>
      </w:pPr>
      <w:r>
        <w:rPr>
          <w:color w:val="000000"/>
          <w:sz w:val="26"/>
          <w:szCs w:val="26"/>
          <w:lang w:bidi="ru-RU"/>
        </w:rPr>
        <w:t>Приведенное в документации описание показателя оценки «качественные характеристики объекта закупки» критерия «Качественные, функциональные и экологические характеристики объекта закупки» является достаточно подробным и детализированным, что позволяет участникам закупки в полном объеме подготовить свои предложения по данному показателю. Требование о наличии в составе предложения участников документов служит для более точного и полного формирования предоставления участником закупки об объеме и характеристике выполняемых работ и в конечном счёте для формирования ценового предложения, а также об уровне квалификации участников закупки. Данный показатель позволяет оценить способность потенциальных участников исполнить условия контракта и тем самым в полном объеме реализовать мероприятие муниципальной программы МО г/к Сочи «Развитие общественной инфраструктуры».</w:t>
      </w:r>
    </w:p>
    <w:p>
      <w:pPr>
        <w:pStyle w:val="Normal"/>
        <w:ind w:firstLine="567"/>
        <w:jc w:val="both"/>
        <w:rPr>
          <w:color w:val="000000"/>
          <w:sz w:val="26"/>
          <w:szCs w:val="26"/>
          <w:shd w:fill="FFFFFF" w:val="clear"/>
        </w:rPr>
      </w:pPr>
      <w:r>
        <w:rPr>
          <w:color w:val="000000"/>
          <w:sz w:val="26"/>
          <w:szCs w:val="26"/>
          <w:shd w:fill="FFFFFF" w:val="clear"/>
        </w:rPr>
        <w:t>Данная позиция подтверждается судебной практикой: Решение Арбитражного суда Краснодарского края по делу от 03.08.2022 № А32-24156/2022, Постановление 15 Арбитражного апелляционного суда от 16.11.2022 №15АП-18531/2022, Решение Арбитражного суда по делу № А32-45706/2024 от 16.01.2025.</w:t>
      </w:r>
    </w:p>
    <w:p>
      <w:pPr>
        <w:pStyle w:val="Normal"/>
        <w:ind w:firstLine="567"/>
        <w:jc w:val="both"/>
        <w:rPr>
          <w:color w:val="000000"/>
          <w:sz w:val="26"/>
          <w:szCs w:val="26"/>
          <w:shd w:fill="FFFFFF" w:val="clear"/>
        </w:rPr>
      </w:pPr>
      <w:r>
        <w:rPr>
          <w:color w:val="000000"/>
          <w:sz w:val="26"/>
          <w:szCs w:val="26"/>
          <w:shd w:fill="FFFFFF" w:val="clear"/>
        </w:rPr>
        <w:t>Комиссия, руководствуясь ч. 1, 3, 4 ст. 105 и на основании ч. 15 ст. 99, 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Normal"/>
        <w:rPr>
          <w:sz w:val="26"/>
          <w:szCs w:val="26"/>
        </w:rPr>
      </w:pPr>
      <w:r>
        <w:rPr>
          <w:sz w:val="26"/>
          <w:szCs w:val="26"/>
        </w:rPr>
      </w:r>
    </w:p>
    <w:p>
      <w:pPr>
        <w:pStyle w:val="Normal"/>
        <w:ind w:firstLine="567"/>
        <w:jc w:val="center"/>
        <w:rPr>
          <w:b/>
          <w:sz w:val="26"/>
          <w:szCs w:val="26"/>
        </w:rPr>
      </w:pPr>
      <w:r>
        <w:rPr>
          <w:b/>
          <w:sz w:val="26"/>
          <w:szCs w:val="26"/>
        </w:rPr>
        <w:t>РЕШИЛА:</w:t>
      </w:r>
    </w:p>
    <w:p>
      <w:pPr>
        <w:pStyle w:val="Normal"/>
        <w:ind w:firstLine="567"/>
        <w:jc w:val="center"/>
        <w:rPr>
          <w:b/>
          <w:sz w:val="26"/>
          <w:szCs w:val="26"/>
        </w:rPr>
      </w:pPr>
      <w:r>
        <w:rPr>
          <w:b/>
          <w:sz w:val="26"/>
          <w:szCs w:val="26"/>
        </w:rPr>
      </w:r>
    </w:p>
    <w:p>
      <w:pPr>
        <w:pStyle w:val="Normal"/>
        <w:numPr>
          <w:ilvl w:val="0"/>
          <w:numId w:val="3"/>
        </w:numPr>
        <w:spacing w:before="0" w:after="0"/>
        <w:contextualSpacing/>
        <w:jc w:val="both"/>
        <w:rPr>
          <w:rFonts w:eastAsia="Calibri"/>
          <w:sz w:val="26"/>
          <w:szCs w:val="26"/>
          <w:lang w:eastAsia="en-US"/>
        </w:rPr>
      </w:pPr>
      <w:r>
        <w:rPr>
          <w:rFonts w:eastAsia="Calibri"/>
          <w:sz w:val="26"/>
          <w:szCs w:val="26"/>
          <w:lang w:eastAsia="en-US"/>
        </w:rPr>
        <w:t xml:space="preserve">Признать жалобу </w:t>
      </w:r>
      <w:r>
        <w:rPr>
          <w:sz w:val="26"/>
          <w:szCs w:val="26"/>
        </w:rPr>
        <w:t xml:space="preserve">ООО «Северо-Кавказский территориальный научно-исследовательский институт агропромышленного комплекса» </w:t>
      </w:r>
      <w:r>
        <w:rPr>
          <w:rFonts w:eastAsia="Calibri"/>
          <w:sz w:val="26"/>
          <w:szCs w:val="26"/>
          <w:lang w:eastAsia="en-US"/>
        </w:rPr>
        <w:t xml:space="preserve">необоснованной. </w:t>
      </w:r>
    </w:p>
    <w:p>
      <w:pPr>
        <w:pStyle w:val="Normal"/>
        <w:numPr>
          <w:ilvl w:val="0"/>
          <w:numId w:val="1"/>
        </w:numPr>
        <w:spacing w:before="0" w:after="0"/>
        <w:contextualSpacing/>
        <w:jc w:val="both"/>
        <w:rPr>
          <w:rFonts w:eastAsia="Calibri"/>
          <w:sz w:val="26"/>
          <w:szCs w:val="26"/>
          <w:lang w:eastAsia="en-US"/>
        </w:rPr>
      </w:pPr>
      <w:r>
        <w:rPr>
          <w:rFonts w:eastAsia="Calibri"/>
          <w:sz w:val="26"/>
          <w:szCs w:val="26"/>
          <w:lang w:eastAsia="en-US"/>
        </w:rPr>
        <w:t>Отменить приостановление определения поставщика (подрядчика, исполнителя) в части подписания контракта (извещение №</w:t>
      </w:r>
      <w:r>
        <w:rPr>
          <w:color w:val="000000"/>
          <w:sz w:val="26"/>
          <w:szCs w:val="26"/>
        </w:rPr>
        <w:t> 0118300018724001388</w:t>
      </w:r>
      <w:r>
        <w:rPr>
          <w:rFonts w:eastAsia="Calibri"/>
          <w:sz w:val="26"/>
          <w:szCs w:val="26"/>
          <w:lang w:eastAsia="en-US"/>
        </w:rPr>
        <w:t>).</w:t>
      </w:r>
    </w:p>
    <w:p>
      <w:pPr>
        <w:pStyle w:val="Normal"/>
        <w:ind w:firstLine="567"/>
        <w:jc w:val="both"/>
        <w:rPr>
          <w:color w:val="000000"/>
          <w:sz w:val="26"/>
          <w:szCs w:val="26"/>
        </w:rPr>
      </w:pPr>
      <w:r>
        <w:rPr>
          <w:color w:val="000000"/>
          <w:sz w:val="26"/>
          <w:szCs w:val="26"/>
        </w:rPr>
        <w:t>Настоящее Решение может быть обжаловано в судебном порядке в течение трех месяцев с даты его принятия.</w:t>
      </w:r>
    </w:p>
    <w:p>
      <w:pPr>
        <w:pStyle w:val="Normal"/>
        <w:ind w:firstLine="567"/>
        <w:jc w:val="both"/>
        <w:rPr>
          <w:color w:val="000000"/>
          <w:sz w:val="26"/>
          <w:szCs w:val="26"/>
        </w:rPr>
      </w:pPr>
      <w:r>
        <w:rPr>
          <w:color w:val="000000"/>
          <w:sz w:val="26"/>
          <w:szCs w:val="26"/>
        </w:rPr>
      </w:r>
    </w:p>
    <w:p>
      <w:pPr>
        <w:pStyle w:val="ListParagraph"/>
        <w:ind w:left="900" w:hanging="0"/>
        <w:jc w:val="both"/>
        <w:rPr>
          <w:rFonts w:ascii="Times New Roman" w:hAnsi="Times New Roman" w:cs="Times New Roman"/>
          <w:sz w:val="26"/>
          <w:szCs w:val="26"/>
        </w:rPr>
      </w:pPr>
      <w:r>
        <w:rPr/>
      </w:r>
      <w:bookmarkStart w:id="2" w:name="_GoBack"/>
      <w:bookmarkStart w:id="3" w:name="_GoBack"/>
      <w:bookmarkEnd w:id="3"/>
    </w:p>
    <w:p>
      <w:pPr>
        <w:pStyle w:val="ListParagraph"/>
        <w:ind w:left="900" w:hanging="0"/>
        <w:jc w:val="right"/>
        <w:rPr>
          <w:rFonts w:ascii="Times New Roman" w:hAnsi="Times New Roman" w:cs="Times New Roman"/>
          <w:sz w:val="26"/>
          <w:szCs w:val="26"/>
        </w:rPr>
      </w:pPr>
      <w:r>
        <w:rPr>
          <w:rFonts w:cs="Times New Roman" w:ascii="Times New Roman" w:hAnsi="Times New Roman"/>
          <w:sz w:val="26"/>
          <w:szCs w:val="26"/>
        </w:rPr>
      </w:r>
    </w:p>
    <w:p>
      <w:pPr>
        <w:pStyle w:val="Normal"/>
        <w:tabs>
          <w:tab w:val="clear" w:pos="708"/>
          <w:tab w:val="left" w:pos="2488" w:leader="none"/>
          <w:tab w:val="left" w:pos="7230" w:leader="none"/>
        </w:tabs>
        <w:rPr>
          <w:color w:val="000000"/>
          <w:sz w:val="26"/>
          <w:szCs w:val="26"/>
        </w:rPr>
      </w:pPr>
      <w:r>
        <w:rPr>
          <w:color w:val="000000"/>
          <w:sz w:val="26"/>
          <w:szCs w:val="26"/>
        </w:rPr>
      </w:r>
    </w:p>
    <w:p>
      <w:pPr>
        <w:pStyle w:val="Normal"/>
        <w:rPr/>
      </w:pPr>
      <w:r>
        <w:rPr/>
      </w:r>
    </w:p>
    <w:sectPr>
      <w:type w:val="nextPage"/>
      <w:pgSz w:w="11906" w:h="16838"/>
      <w:pgMar w:left="1701" w:right="850" w:gutter="0" w:header="0" w:top="1134"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1"/>
    <w:lvlOverride w:ilvl="0">
      <w:startOverride w:val="1"/>
    </w:lvlOverride>
  </w:num>
</w:numbering>
</file>

<file path=word/settings.xml><?xml version="1.0" encoding="utf-8"?>
<w:settings xmlns:w="http://schemas.openxmlformats.org/wordprocessingml/2006/main">
  <w:zoom w:percent="148"/>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6e0f25"/>
    <w:pPr>
      <w:widowControl/>
      <w:bidi w:val="0"/>
      <w:spacing w:lineRule="auto" w:line="240" w:before="0" w:after="0"/>
      <w:jc w:val="left"/>
    </w:pPr>
    <w:rPr>
      <w:rFonts w:ascii="Times New Roman" w:hAnsi="Times New Roman" w:eastAsia="Times New Roman" w:cs="Times New Roman"/>
      <w:color w:val="auto"/>
      <w:kern w:val="0"/>
      <w:sz w:val="20"/>
      <w:szCs w:val="20"/>
      <w:lang w:eastAsia="ru-RU" w:val="ru-RU" w:bidi="ar-SA"/>
    </w:rPr>
  </w:style>
  <w:style w:type="paragraph" w:styleId="3">
    <w:name w:val="Heading 3"/>
    <w:basedOn w:val="Normal"/>
    <w:next w:val="Normal"/>
    <w:link w:val="31"/>
    <w:semiHidden/>
    <w:unhideWhenUsed/>
    <w:qFormat/>
    <w:rsid w:val="006e0f25"/>
    <w:pPr>
      <w:keepNext w:val="true"/>
      <w:jc w:val="center"/>
      <w:outlineLvl w:val="2"/>
    </w:pPr>
    <w:rPr>
      <w:sz w:val="28"/>
    </w:rPr>
  </w:style>
  <w:style w:type="character" w:styleId="DefaultParagraphFont" w:default="1">
    <w:name w:val="Default Paragraph Font"/>
    <w:uiPriority w:val="1"/>
    <w:semiHidden/>
    <w:unhideWhenUsed/>
    <w:qFormat/>
    <w:rPr/>
  </w:style>
  <w:style w:type="character" w:styleId="31" w:customStyle="1">
    <w:name w:val="Заголовок 3 Знак"/>
    <w:basedOn w:val="DefaultParagraphFont"/>
    <w:semiHidden/>
    <w:qFormat/>
    <w:rsid w:val="006e0f25"/>
    <w:rPr>
      <w:rFonts w:ascii="Times New Roman" w:hAnsi="Times New Roman" w:eastAsia="Times New Roman" w:cs="Times New Roman"/>
      <w:sz w:val="28"/>
      <w:szCs w:val="20"/>
      <w:lang w:eastAsia="ru-RU"/>
    </w:rPr>
  </w:style>
  <w:style w:type="character" w:styleId="-">
    <w:name w:val="Hyperlink"/>
    <w:uiPriority w:val="99"/>
    <w:semiHidden/>
    <w:unhideWhenUsed/>
    <w:rsid w:val="006e0f25"/>
    <w:rPr>
      <w:color w:val="0000FF"/>
      <w:u w:val="single"/>
    </w:rPr>
  </w:style>
  <w:style w:type="paragraph" w:styleId="Style8">
    <w:name w:val="Заголовок"/>
    <w:basedOn w:val="Normal"/>
    <w:next w:val="Style9"/>
    <w:qFormat/>
    <w:pPr>
      <w:keepNext w:val="true"/>
      <w:spacing w:before="240" w:after="120"/>
    </w:pPr>
    <w:rPr>
      <w:rFonts w:ascii="Liberation Sans" w:hAnsi="Liberation Sans" w:eastAsia="Microsoft YaHei" w:cs="Lucida Sans"/>
      <w:sz w:val="28"/>
      <w:szCs w:val="28"/>
    </w:rPr>
  </w:style>
  <w:style w:type="paragraph" w:styleId="Style9">
    <w:name w:val="Body Text"/>
    <w:basedOn w:val="Normal"/>
    <w:pPr>
      <w:spacing w:lineRule="auto" w:line="276" w:before="0" w:after="140"/>
    </w:pPr>
    <w:rPr/>
  </w:style>
  <w:style w:type="paragraph" w:styleId="Style10">
    <w:name w:val="List"/>
    <w:basedOn w:val="Style9"/>
    <w:pPr/>
    <w:rPr>
      <w:rFonts w:cs="Lucida Sans"/>
    </w:rPr>
  </w:style>
  <w:style w:type="paragraph" w:styleId="Style11">
    <w:name w:val="Caption"/>
    <w:basedOn w:val="Normal"/>
    <w:qFormat/>
    <w:pPr>
      <w:suppressLineNumbers/>
      <w:spacing w:before="120" w:after="120"/>
    </w:pPr>
    <w:rPr>
      <w:rFonts w:cs="Lucida Sans"/>
      <w:i/>
      <w:iCs/>
      <w:sz w:val="24"/>
      <w:szCs w:val="24"/>
    </w:rPr>
  </w:style>
  <w:style w:type="paragraph" w:styleId="Style12">
    <w:name w:val="Указатель"/>
    <w:basedOn w:val="Normal"/>
    <w:qFormat/>
    <w:pPr>
      <w:suppressLineNumbers/>
    </w:pPr>
    <w:rPr>
      <w:rFonts w:cs="Lucida Sans"/>
    </w:rPr>
  </w:style>
  <w:style w:type="paragraph" w:styleId="ListParagraph">
    <w:name w:val="List Paragraph"/>
    <w:basedOn w:val="Normal"/>
    <w:uiPriority w:val="34"/>
    <w:qFormat/>
    <w:rsid w:val="00d2795a"/>
    <w:pPr>
      <w:spacing w:lineRule="auto" w:line="276" w:before="0" w:after="200"/>
      <w:ind w:left="720" w:hanging="0"/>
      <w:contextualSpacing/>
    </w:pPr>
    <w:rPr>
      <w:rFonts w:ascii="Calibri" w:hAnsi="Calibri" w:eastAsia="Calibri" w:cs="" w:asciiTheme="minorHAnsi" w:cstheme="minorBidi" w:eastAsiaTheme="minorHAnsi" w:hAnsiTheme="minorHAnsi"/>
      <w:sz w:val="22"/>
      <w:szCs w:val="22"/>
      <w:lang w:eastAsia="en-US"/>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Application>LibreOffice/7.5.0.3$Windows_X86_64 LibreOffice_project/c21113d003cd3efa8c53188764377a8272d9d6de</Application>
  <AppVersion>15.0000</AppVersion>
  <Pages>6</Pages>
  <Words>2027</Words>
  <Characters>14678</Characters>
  <CharactersWithSpaces>16689</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2024-05-03T10:32:00Z</dcterms:created>
  <dc:creator>Людмила Александровна Литовченко</dc:creator>
  <dc:description/>
  <dc:language>ru-RU</dc:language>
  <cp:lastModifiedBy/>
  <dcterms:modified xsi:type="dcterms:W3CDTF">2025-01-27T18:54:07Z</dcterms:modified>
  <cp:revision>61</cp:revision>
  <dc:subject/>
  <dc:title/>
</cp:coreProperties>
</file>

<file path=docProps/custom.xml><?xml version="1.0" encoding="utf-8"?>
<Properties xmlns="http://schemas.openxmlformats.org/officeDocument/2006/custom-properties" xmlns:vt="http://schemas.openxmlformats.org/officeDocument/2006/docPropsVTypes"/>
</file>