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 w:cs="Times New Roman"/>
          <w:color w:val="000000"/>
          <w:sz w:val="26"/>
          <w:szCs w:val="26"/>
          <w:lang w:val="en-US"/>
        </w:rPr>
      </w:pPr>
      <w:r>
        <w:rPr>
          <w:rFonts w:cs="Times New Roman" w:ascii="Times New Roman" w:hAnsi="Times New Roman"/>
          <w:color w:val="000000"/>
          <w:sz w:val="26"/>
          <w:szCs w:val="26"/>
          <w:lang w:val="en-US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6"/>
          <w:szCs w:val="26"/>
          <w:lang w:val="en-US"/>
        </w:rPr>
      </w:pPr>
      <w:r>
        <w:rPr>
          <w:rFonts w:cs="Times New Roman" w:ascii="Times New Roman" w:hAnsi="Times New Roman"/>
          <w:color w:val="000000"/>
          <w:sz w:val="26"/>
          <w:szCs w:val="26"/>
          <w:lang w:val="en-US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6"/>
          <w:szCs w:val="26"/>
          <w:lang w:val="en-US"/>
        </w:rPr>
      </w:pPr>
      <w:r>
        <w:rPr>
          <w:rFonts w:cs="Times New Roman" w:ascii="Times New Roman" w:hAnsi="Times New Roman"/>
          <w:color w:val="000000"/>
          <w:sz w:val="26"/>
          <w:szCs w:val="26"/>
          <w:lang w:val="en-US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6"/>
          <w:szCs w:val="26"/>
          <w:lang w:val="en-US"/>
        </w:rPr>
      </w:pPr>
      <w:r>
        <w:rPr>
          <w:rFonts w:cs="Times New Roman" w:ascii="Times New Roman" w:hAnsi="Times New Roman"/>
          <w:color w:val="000000"/>
          <w:sz w:val="26"/>
          <w:szCs w:val="26"/>
          <w:lang w:val="en-US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6"/>
          <w:szCs w:val="26"/>
          <w:lang w:val="en-US"/>
        </w:rPr>
      </w:pPr>
      <w:r>
        <w:rPr>
          <w:rFonts w:cs="Times New Roman" w:ascii="Times New Roman" w:hAnsi="Times New Roman"/>
          <w:color w:val="000000"/>
          <w:sz w:val="26"/>
          <w:szCs w:val="26"/>
          <w:lang w:val="en-US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6"/>
          <w:szCs w:val="26"/>
          <w:lang w:val="en-US"/>
        </w:rPr>
      </w:pPr>
      <w:r>
        <w:rPr>
          <w:rFonts w:cs="Times New Roman" w:ascii="Times New Roman" w:hAnsi="Times New Roman"/>
          <w:color w:val="000000"/>
          <w:sz w:val="26"/>
          <w:szCs w:val="26"/>
          <w:lang w:val="en-US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6"/>
          <w:szCs w:val="26"/>
          <w:lang w:val="en-US"/>
        </w:rPr>
      </w:pPr>
      <w:r>
        <w:rPr>
          <w:rFonts w:cs="Times New Roman" w:ascii="Times New Roman" w:hAnsi="Times New Roman"/>
          <w:color w:val="000000"/>
          <w:sz w:val="26"/>
          <w:szCs w:val="26"/>
          <w:lang w:val="en-US"/>
        </w:rPr>
      </w:r>
    </w:p>
    <w:p>
      <w:pPr>
        <w:pStyle w:val="Normal"/>
        <w:jc w:val="center"/>
        <w:rPr>
          <w:rFonts w:ascii="Times New Roman" w:hAnsi="Times New Roman" w:cs="Times New Roman"/>
          <w:color w:val="000000"/>
          <w:sz w:val="26"/>
          <w:szCs w:val="26"/>
          <w:lang w:val="en-US"/>
        </w:rPr>
      </w:pPr>
      <w:r>
        <w:rPr>
          <w:rFonts w:cs="Times New Roman" w:ascii="Times New Roman" w:hAnsi="Times New Roman"/>
          <w:color w:val="000000"/>
          <w:sz w:val="26"/>
          <w:szCs w:val="26"/>
          <w:lang w:val="en-US"/>
        </w:rPr>
      </w:r>
    </w:p>
    <w:p>
      <w:pPr>
        <w:pStyle w:val="Normal"/>
        <w:jc w:val="center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РЕШЕНИЕ № 32/2025</w:t>
      </w:r>
    </w:p>
    <w:p>
      <w:pPr>
        <w:pStyle w:val="Normal"/>
        <w:jc w:val="center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по делу № 023/06/48-332/2025</w:t>
      </w:r>
    </w:p>
    <w:p>
      <w:pPr>
        <w:pStyle w:val="Normal"/>
        <w:jc w:val="center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22 января 2025 года                                                                                      г. Краснодар</w:t>
      </w:r>
    </w:p>
    <w:p>
      <w:pPr>
        <w:pStyle w:val="Normal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ab/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в составе:</w:t>
      </w:r>
    </w:p>
    <w:p>
      <w:pPr>
        <w:pStyle w:val="Normal"/>
        <w:jc w:val="both"/>
        <w:rPr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>рассмотрев жалобу ООО «Профит» на действия уполномоченного учреждения (комиссии) – ГКУ КК ДГЗ при проведении открытого конкурса в электронной форме: «Подводящий газопровод высокого давления, ШГРП в поселке Красный лес Красноармейского района Краснодарского края» (извещение № 0818500000824011137) в части нарушения законодательства о контрактной системе,</w:t>
      </w:r>
    </w:p>
    <w:p>
      <w:pPr>
        <w:pStyle w:val="Normal"/>
        <w:jc w:val="center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УСТАНОВИЛА:</w:t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Заявитель указывает, что в соответствии с </w:t>
      </w:r>
      <w:bookmarkStart w:id="0" w:name="_GoBack"/>
      <w:r>
        <w:rPr>
          <w:rFonts w:cs="Times New Roman" w:ascii="Times New Roman" w:hAnsi="Times New Roman"/>
          <w:color w:val="000000"/>
          <w:sz w:val="26"/>
          <w:szCs w:val="26"/>
        </w:rPr>
        <w:t xml:space="preserve">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 </w:t>
      </w:r>
      <w:bookmarkEnd w:id="0"/>
      <w:r>
        <w:rPr>
          <w:rFonts w:cs="Times New Roman" w:ascii="Times New Roman" w:hAnsi="Times New Roman"/>
          <w:color w:val="000000"/>
          <w:sz w:val="26"/>
          <w:szCs w:val="26"/>
        </w:rPr>
        <w:t>в заявке приложены копии документов исполненных контрактов (договоров) на сумму 250 990 109,77 рублей, а также подтвержден опыт строительства линейного объекта.</w:t>
      </w:r>
    </w:p>
    <w:p>
      <w:pPr>
        <w:pStyle w:val="Normal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  <w:t>Представитель уполномоченного учреждения пояснил, что рассмотрение и оценки осуществлялось в соответствии с Порядком оценки.</w:t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  <w:t>Уполномоченным учреждением – ГКУ КК ДГЗ после проверки заявки заказчика на соответствие требованиям законодательства о контрактной системе в ЕИС 17.12.2024 размещено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извещение о проведении открытого конкурса в электронной форме: «Подводящий газопровод высокого давления, ШГРП в поселке Красный лес Красноармейского района Краснодарского края» (извещение № 0818500000824011137) с НМЦК 65 207 897,86 рублей. Заказчик - МКУ МО Красноармейского района «Красноармейскаякапстрой».</w:t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В соответствии с п.11)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системе,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критерии оценки заявок на участие в конкурсах, величины значимости этих критериев в соответствии с настоящим Федеральным законом. </w:t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Порядок оценки заявок участников закупки, в том числе предельные величины значимости каждого критерия, устанавливаются Правительством Российской Федерации (ч.8 ст.32 Закона о контрактной системе). </w:t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В составе извещения о проведении электронного конкурса размещен Порядок рассмотрения и оценки заявок на участие в конкурсе, согласно которому предусмотрены следующие критерии: цена контракта; квалификация участников закупки.</w:t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Согласно п.24 постановления Правительства РФ от 31.12.2021 №2604 «Об оценке заявок на участие в закупке товаров, работ, услуг для обеспечения государственных и муниципальных нужд» (далее Постановление № 2604, Положение)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следующих показателей оценки: а) наличие у участников закупки финансовых ресурсов; б) наличие у участников закупки опыта поставки товара, выполнения работы, оказания услуги, связанного с предметом контракта; г) наличие у участника закупки деловой репутации; д) наличие у участников закупки специалистов и иных работников определенного уровня квалификации. В случае применения показателя оценки, предусмотренного подп. «в» п.24 настоящего Положения: применяются один или несколько из следующих детализирующих показателей оценки: общая цена исполненных участником закупки договоров; общее количество исполненных участником закупки договоров; наибольшая цена одного из исполненных участником закупки договоров (п.28 Положения).</w:t>
      </w:r>
    </w:p>
    <w:p>
      <w:pPr>
        <w:pStyle w:val="Normal"/>
        <w:ind w:firstLine="708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В рамках критерия «квалификация участников закупки» в Порядке оценки установлена характеристика №1 общая цена исполненных участником закупки договоров, а также приведена одна из формул п.20 Положения.</w:t>
      </w:r>
    </w:p>
    <w:p>
      <w:pPr>
        <w:pStyle w:val="Normal"/>
        <w:suppressAutoHyphens w:val="true"/>
        <w:ind w:firstLine="708"/>
        <w:jc w:val="both"/>
        <w:rPr>
          <w:color w:val="000000"/>
        </w:rPr>
      </w:pPr>
      <w:r>
        <w:rPr>
          <w:rFonts w:eastAsia="Calibri" w:cs="Times New Roman" w:ascii="Times New Roman" w:hAnsi="Times New Roman"/>
          <w:color w:val="000000" w:themeColor="text1"/>
          <w:kern w:val="2"/>
          <w:sz w:val="26"/>
          <w:szCs w:val="26"/>
        </w:rPr>
        <w:t xml:space="preserve">Также указано: К оценке принимаются контракты, исключительно заключенные и исполненные участником закупки с учетом правопреемства (в случае наличия в заявке подтверждающего документа) контракты (договоры), при исполнении которых поставщиком (подрядчиком, исполнителем) исполнены требования об уплате неустоек (штрафов, пеней) (в случае начисления неустоек), </w:t>
      </w:r>
      <w:r>
        <w:rPr>
          <w:rFonts w:eastAsia="Calibri" w:cs="Times New Roman" w:ascii="Times New Roman" w:hAnsi="Times New Roman"/>
          <w:color w:val="000000" w:themeColor="text1"/>
          <w:kern w:val="2"/>
          <w:sz w:val="26"/>
          <w:szCs w:val="26"/>
          <w:u w:val="single"/>
        </w:rPr>
        <w:t>в соответствии с Федеральным законом №44-ФЗ, и договора, заключенного и исполненного в соответствии с Федеральным законом «О закупках товаров, работ, услуг отдельными видами юридических лиц»,</w:t>
      </w:r>
      <w:r>
        <w:rPr>
          <w:rFonts w:eastAsia="Calibri" w:cs="Times New Roman" w:ascii="Times New Roman" w:hAnsi="Times New Roman"/>
          <w:color w:val="000000" w:themeColor="text1"/>
          <w:kern w:val="2"/>
          <w:sz w:val="26"/>
          <w:szCs w:val="26"/>
        </w:rPr>
        <w:t xml:space="preserve"> предмет которых сопоставим с предметом контракта, заключаемого по результатам определения поставщика (подрядчика, исполнителя).</w:t>
      </w:r>
    </w:p>
    <w:p>
      <w:pPr>
        <w:pStyle w:val="Normal"/>
        <w:suppressAutoHyphens w:val="true"/>
        <w:jc w:val="both"/>
        <w:rPr>
          <w:color w:val="000000"/>
        </w:rPr>
      </w:pPr>
      <w:r>
        <w:rPr>
          <w:rFonts w:eastAsia="Calibri" w:cs="Times New Roman" w:ascii="Times New Roman" w:hAnsi="Times New Roman"/>
          <w:color w:val="000000" w:themeColor="text1"/>
          <w:kern w:val="2"/>
          <w:sz w:val="26"/>
          <w:szCs w:val="26"/>
        </w:rPr>
        <w:tab/>
        <w:t>К оценке принимаются документы, подтверждающие наличие у участника закупки опыта выполнения работ, связанного с предметом контракта в случае их представления в заявке в полном объеме и со всеми приложениями. При проведении открытого конкурса в электронной форме такие документы направляются в форме электронных документов или в форме электронных образов бумажных документов, а также путем направления номера реестровой записи их соответствующего реестра, если такие документы и информация о таких документах содержится в открытых и общедоступных государственных реестрах, размещенных в информационно-телекоммуникационной сети «Интернет»,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информационно-телекоммуникационной сети «Интернет».</w:t>
      </w:r>
    </w:p>
    <w:p>
      <w:pPr>
        <w:pStyle w:val="Normal"/>
        <w:suppressAutoHyphens w:val="true"/>
        <w:jc w:val="both"/>
        <w:rPr>
          <w:color w:val="000000"/>
        </w:rPr>
      </w:pPr>
      <w:r>
        <w:rPr>
          <w:rFonts w:eastAsia="Calibri" w:cs="Times New Roman" w:ascii="Times New Roman" w:hAnsi="Times New Roman"/>
          <w:color w:val="000000" w:themeColor="text1"/>
          <w:kern w:val="2"/>
          <w:sz w:val="26"/>
          <w:szCs w:val="26"/>
        </w:rPr>
        <w:tab/>
        <w:t>Перечень документов, подтверждающих наличие у участника закупки опыта выполнения работы, связанного с предметом контракта: исполненный договор; акт (акты) приемки поставленного товара, выполненных работ, оказанных услуг, составленные при исполнении такого договора (договоров); 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деятельности).</w:t>
      </w:r>
    </w:p>
    <w:p>
      <w:pPr>
        <w:pStyle w:val="S1"/>
        <w:shd w:val="clear" w:color="auto" w:fill="FFFFFF"/>
        <w:spacing w:beforeAutospacing="0" w:before="0" w:afterAutospacing="0" w:after="0"/>
        <w:ind w:firstLine="708"/>
        <w:jc w:val="both"/>
        <w:rPr/>
      </w:pPr>
      <w:r>
        <w:rPr>
          <w:color w:val="000000"/>
          <w:sz w:val="26"/>
          <w:szCs w:val="26"/>
        </w:rPr>
        <w:t>В соответствии с ч.11 ст.48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 </w:t>
      </w:r>
      <w:r>
        <w:fldChar w:fldCharType="begin"/>
      </w:r>
      <w:r>
        <w:rPr>
          <w:rStyle w:val="-"/>
          <w:sz w:val="26"/>
          <w:szCs w:val="26"/>
          <w:color w:val="000000"/>
        </w:rPr>
        <w:instrText xml:space="preserve"> HYPERLINK "https://base.garant.ru/70353464/92409a09f2fd78349ae7c7f2064bf25a/" \l "block_48102"</w:instrText>
      </w:r>
      <w:r>
        <w:rPr>
          <w:rStyle w:val="-"/>
          <w:sz w:val="26"/>
          <w:szCs w:val="26"/>
          <w:color w:val="000000"/>
        </w:rPr>
        <w:fldChar w:fldCharType="separate"/>
      </w:r>
      <w:r>
        <w:rPr>
          <w:rStyle w:val="-"/>
          <w:color w:val="000000"/>
          <w:sz w:val="26"/>
          <w:szCs w:val="26"/>
        </w:rPr>
        <w:t>пунктом 2 части 10</w:t>
      </w:r>
      <w:r>
        <w:rPr>
          <w:rStyle w:val="-"/>
          <w:sz w:val="26"/>
          <w:szCs w:val="26"/>
          <w:color w:val="000000"/>
        </w:rPr>
        <w:fldChar w:fldCharType="end"/>
      </w:r>
      <w:r>
        <w:rPr>
          <w:color w:val="000000"/>
          <w:sz w:val="26"/>
          <w:szCs w:val="26"/>
        </w:rPr>
        <w:t> настоящей статьи,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000000"/>
        </w:rPr>
      </w:pPr>
      <w:r>
        <w:rPr>
          <w:color w:val="000000"/>
          <w:sz w:val="26"/>
          <w:szCs w:val="26"/>
        </w:rPr>
        <w:t>1) члены комиссии по осуществлению закупок: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/>
      </w:pPr>
      <w:r>
        <w:rPr>
          <w:color w:val="000000"/>
          <w:sz w:val="26"/>
          <w:szCs w:val="26"/>
        </w:rPr>
        <w:t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 </w:t>
      </w:r>
      <w:r>
        <w:fldChar w:fldCharType="begin"/>
      </w:r>
      <w:r>
        <w:rPr>
          <w:rStyle w:val="-"/>
          <w:sz w:val="26"/>
          <w:szCs w:val="26"/>
          <w:color w:val="000000"/>
        </w:rPr>
        <w:instrText xml:space="preserve"> HYPERLINK "https://base.garant.ru/70353464/92409a09f2fd78349ae7c7f2064bf25a/" \l "block_48102"</w:instrText>
      </w:r>
      <w:r>
        <w:rPr>
          <w:rStyle w:val="-"/>
          <w:sz w:val="26"/>
          <w:szCs w:val="26"/>
          <w:color w:val="000000"/>
        </w:rPr>
        <w:fldChar w:fldCharType="separate"/>
      </w:r>
      <w:r>
        <w:rPr>
          <w:rStyle w:val="-"/>
          <w:color w:val="000000"/>
          <w:sz w:val="26"/>
          <w:szCs w:val="26"/>
        </w:rPr>
        <w:t>пунктом 2 части 10</w:t>
      </w:r>
      <w:r>
        <w:rPr>
          <w:rStyle w:val="-"/>
          <w:sz w:val="26"/>
          <w:szCs w:val="26"/>
          <w:color w:val="000000"/>
        </w:rPr>
        <w:fldChar w:fldCharType="end"/>
      </w:r>
      <w:r>
        <w:rPr>
          <w:color w:val="000000"/>
          <w:sz w:val="26"/>
          <w:szCs w:val="26"/>
        </w:rPr>
        <w:t> настоящей статьи,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/>
      </w:pPr>
      <w:r>
        <w:rPr>
          <w:color w:val="000000"/>
          <w:sz w:val="26"/>
          <w:szCs w:val="26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 </w:t>
      </w:r>
      <w:r>
        <w:fldChar w:fldCharType="begin"/>
      </w:r>
      <w:r>
        <w:rPr>
          <w:rStyle w:val="-"/>
          <w:sz w:val="26"/>
          <w:szCs w:val="26"/>
          <w:color w:val="000000"/>
        </w:rPr>
        <w:instrText xml:space="preserve"> HYPERLINK "https://base.garant.ru/70353464/b3975f01ce8b0eb0c9b11526d9b4c7bf/" \l "block_3214"</w:instrText>
      </w:r>
      <w:r>
        <w:rPr>
          <w:rStyle w:val="-"/>
          <w:sz w:val="26"/>
          <w:szCs w:val="26"/>
          <w:color w:val="000000"/>
        </w:rPr>
        <w:fldChar w:fldCharType="separate"/>
      </w:r>
      <w:r>
        <w:rPr>
          <w:rStyle w:val="-"/>
          <w:color w:val="000000"/>
          <w:sz w:val="26"/>
          <w:szCs w:val="26"/>
        </w:rPr>
        <w:t>пунктом 4 части 1 статьи 32</w:t>
      </w:r>
      <w:r>
        <w:rPr>
          <w:rStyle w:val="-"/>
          <w:sz w:val="26"/>
          <w:szCs w:val="26"/>
          <w:color w:val="000000"/>
        </w:rPr>
        <w:fldChar w:fldCharType="end"/>
      </w:r>
      <w:r>
        <w:rPr>
          <w:color w:val="000000"/>
          <w:sz w:val="26"/>
          <w:szCs w:val="26"/>
        </w:rPr>
        <w:t> настоящего Федерального закона (если такой критерий установлен извещением об осуществлении закупки);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/>
      </w:pPr>
      <w:r>
        <w:rPr>
          <w:color w:val="000000"/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 </w:t>
      </w:r>
      <w:r>
        <w:fldChar w:fldCharType="begin"/>
      </w:r>
      <w:r>
        <w:rPr>
          <w:rStyle w:val="-"/>
          <w:sz w:val="26"/>
          <w:szCs w:val="26"/>
          <w:color w:val="000000"/>
        </w:rPr>
        <w:instrText xml:space="preserve"> HYPERLINK "https://base.garant.ru/12184522/741609f9002bd54a24e5c49cb5af953b/" \l "block_21"</w:instrText>
      </w:r>
      <w:r>
        <w:rPr>
          <w:rStyle w:val="-"/>
          <w:sz w:val="26"/>
          <w:szCs w:val="26"/>
          <w:color w:val="000000"/>
        </w:rPr>
        <w:fldChar w:fldCharType="separate"/>
      </w:r>
      <w:r>
        <w:rPr>
          <w:rStyle w:val="-"/>
          <w:color w:val="000000"/>
          <w:sz w:val="26"/>
          <w:szCs w:val="26"/>
        </w:rPr>
        <w:t>электронными подписями</w:t>
      </w:r>
      <w:r>
        <w:rPr>
          <w:rStyle w:val="-"/>
          <w:sz w:val="26"/>
          <w:szCs w:val="26"/>
          <w:color w:val="000000"/>
        </w:rPr>
        <w:fldChar w:fldCharType="end"/>
      </w:r>
      <w:r>
        <w:rPr>
          <w:color w:val="000000"/>
          <w:sz w:val="26"/>
          <w:szCs w:val="26"/>
        </w:rPr>
        <w:t> 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000000"/>
        </w:rPr>
      </w:pPr>
      <w:r>
        <w:rPr>
          <w:color w:val="000000"/>
          <w:sz w:val="26"/>
          <w:szCs w:val="26"/>
        </w:rPr>
        <w:tab/>
        <w:t>Согласно протоколу подведения итогов определения поставщика (подрядчика, исполнителя) от 16.01.2025 Заявителю (заявка № 118036758) по характеристике критерия «квалификация участников закупки» (общая цена исполненных участником закупки договоров) присвоено 0 баллов.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000000"/>
        </w:rPr>
      </w:pPr>
      <w:r>
        <w:rPr>
          <w:color w:val="000000"/>
          <w:sz w:val="26"/>
          <w:szCs w:val="26"/>
        </w:rPr>
        <w:tab/>
        <w:t>В соответствии с полученной от оператора электронной площадки информации, ООО «Профит» по показателю оценки «Наличие у участников закупки опыта работы, связанного с предметом контракта» представлены следующие контракты (договоры): №19.04/21 с ООО «Канат»; №28.08/22 с ООО «Завод Бормаш»; №765-1219-23 с АО «Газпром  газораспределение Ленинградская область»; №85 с ООО «ГазСервис»; №24ГГ с ООО «ГазТехноСтрой»; №168 с ООО «ГазСервис» на сумму 250 990 109,77 рублей.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000000"/>
        </w:rPr>
      </w:pPr>
      <w:r>
        <w:rPr>
          <w:color w:val="000000"/>
          <w:sz w:val="26"/>
          <w:szCs w:val="26"/>
        </w:rPr>
        <w:tab/>
        <w:t>Договор №765-1219-23 с АО «Газпром  газораспределение Ленинградская область» на сумму 49 000 000, 00 рублей представлен без документов о его исполнении (акт о приемке выполненных работ №1.1-№1.3 на сумму 44 656 409,03 рублей).</w:t>
      </w:r>
    </w:p>
    <w:p>
      <w:pPr>
        <w:pStyle w:val="S1"/>
        <w:shd w:val="clear" w:color="auto" w:fill="FFFFFF"/>
        <w:spacing w:beforeAutospacing="0" w:before="0" w:afterAutospacing="0" w:after="0"/>
        <w:ind w:firstLine="567"/>
        <w:jc w:val="both"/>
        <w:rPr>
          <w:color w:val="000000"/>
        </w:rPr>
      </w:pPr>
      <w:r>
        <w:rPr>
          <w:color w:val="000000"/>
          <w:sz w:val="26"/>
          <w:szCs w:val="26"/>
        </w:rPr>
        <w:t>Контракты (договоры): №19.04/21 с ООО «Канат»; №28.08/22 с ООО «Завод Бормаш»; №85 с ООО «ГазСервис»; №24ГГ с ООО «ГазТехноСтрой»; №168 с ООО «ГазСервис»</w:t>
      </w:r>
      <w:r>
        <w:rPr>
          <w:rFonts w:eastAsia="Calibri"/>
          <w:color w:val="000000" w:themeColor="text1"/>
          <w:kern w:val="2"/>
          <w:sz w:val="26"/>
          <w:szCs w:val="26"/>
        </w:rPr>
        <w:t xml:space="preserve"> заключены не в соответствии с Федеральным законом №44-ФЗ,  Федеральным законом «О закупках товаров, работ, услуг отдельными видами юридических лиц».</w:t>
      </w:r>
    </w:p>
    <w:p>
      <w:pPr>
        <w:pStyle w:val="Normal"/>
        <w:ind w:firstLine="567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В связи с чем, действия комиссии уполномоченного учреждения при рассмотрении и оценки заявок не противоречат требованиям Закона о контрактной системе, Порядку оценки извещения.</w:t>
      </w:r>
    </w:p>
    <w:p>
      <w:pPr>
        <w:pStyle w:val="Normal"/>
        <w:ind w:firstLine="540"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  </w:t>
      </w:r>
      <w:r>
        <w:rPr>
          <w:rFonts w:cs="Times New Roman" w:ascii="Times New Roman" w:hAnsi="Times New Roman"/>
          <w:color w:val="000000"/>
          <w:sz w:val="26"/>
          <w:szCs w:val="26"/>
        </w:rPr>
        <w:t>Комиссия, руководствуясь ч.15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both"/>
        <w:outlineLvl w:val="2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firstLine="540"/>
        <w:jc w:val="center"/>
        <w:outlineLvl w:val="2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ListParagraph"/>
        <w:widowControl w:val="false"/>
        <w:numPr>
          <w:ilvl w:val="0"/>
          <w:numId w:val="2"/>
        </w:numPr>
        <w:spacing w:lineRule="auto" w:line="240" w:before="0" w:after="0"/>
        <w:contextualSpacing/>
        <w:jc w:val="both"/>
        <w:outlineLvl w:val="2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Признать жалобу ООО «Профит» необоснованной.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708" w:firstLine="708"/>
        <w:jc w:val="both"/>
        <w:outlineLvl w:val="2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1065" w:hanging="0"/>
        <w:contextualSpacing/>
        <w:jc w:val="both"/>
        <w:outlineLvl w:val="2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before="0" w:after="200"/>
        <w:rPr>
          <w:color w:val="000000"/>
        </w:rPr>
      </w:pPr>
      <w:r>
        <w:rPr>
          <w:color w:val="000000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1425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5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5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5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5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5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5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5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5" w:hanging="18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639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1"/>
    <w:uiPriority w:val="9"/>
    <w:qFormat/>
    <w:rsid w:val="0063166c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Normal"/>
    <w:link w:val="21"/>
    <w:uiPriority w:val="9"/>
    <w:qFormat/>
    <w:rsid w:val="0045743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Normal"/>
    <w:next w:val="Normal"/>
    <w:link w:val="51"/>
    <w:uiPriority w:val="9"/>
    <w:semiHidden/>
    <w:unhideWhenUsed/>
    <w:qFormat/>
    <w:rsid w:val="00ad4d22"/>
    <w:pPr>
      <w:keepNext w:val="true"/>
      <w:keepLines/>
      <w:spacing w:before="40" w:after="0"/>
      <w:outlineLvl w:val="4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basedOn w:val="DefaultParagraphFont"/>
    <w:uiPriority w:val="99"/>
    <w:semiHidden/>
    <w:unhideWhenUsed/>
    <w:rsid w:val="003f6393"/>
    <w:rPr>
      <w:color w:val="0000FF"/>
      <w:u w:val="single"/>
    </w:rPr>
  </w:style>
  <w:style w:type="character" w:styleId="21" w:customStyle="1">
    <w:name w:val="Заголовок 2 Знак"/>
    <w:basedOn w:val="DefaultParagraphFont"/>
    <w:uiPriority w:val="9"/>
    <w:qFormat/>
    <w:rsid w:val="00457432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ectioninfo" w:customStyle="1">
    <w:name w:val="section__info"/>
    <w:basedOn w:val="DefaultParagraphFont"/>
    <w:qFormat/>
    <w:rsid w:val="00457432"/>
    <w:rPr/>
  </w:style>
  <w:style w:type="character" w:styleId="Sectiontitle" w:customStyle="1">
    <w:name w:val="section__title"/>
    <w:basedOn w:val="DefaultParagraphFont"/>
    <w:qFormat/>
    <w:rsid w:val="00457432"/>
    <w:rPr/>
  </w:style>
  <w:style w:type="character" w:styleId="Timezonename" w:customStyle="1">
    <w:name w:val="timezonename"/>
    <w:basedOn w:val="DefaultParagraphFont"/>
    <w:qFormat/>
    <w:rsid w:val="00457432"/>
    <w:rPr/>
  </w:style>
  <w:style w:type="character" w:styleId="Z-" w:customStyle="1">
    <w:name w:val="z-Начало формы Знак"/>
    <w:basedOn w:val="DefaultParagraphFont"/>
    <w:link w:val="HTMLTopofForm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-1" w:customStyle="1">
    <w:name w:val="z-Конец формы Знак"/>
    <w:basedOn w:val="DefaultParagraphFont"/>
    <w:link w:val="HTMLBottomofForm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11" w:customStyle="1">
    <w:name w:val="Заголовок 1 Знак"/>
    <w:basedOn w:val="DefaultParagraphFont"/>
    <w:uiPriority w:val="9"/>
    <w:qFormat/>
    <w:rsid w:val="0063166c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51" w:customStyle="1">
    <w:name w:val="Заголовок 5 Знак"/>
    <w:basedOn w:val="DefaultParagraphFont"/>
    <w:uiPriority w:val="9"/>
    <w:semiHidden/>
    <w:qFormat/>
    <w:rsid w:val="00ad4d22"/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paragraph" w:styleId="Style6">
    <w:name w:val="Заголовок"/>
    <w:basedOn w:val="Normal"/>
    <w:next w:val="Style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7">
    <w:name w:val="Body Text"/>
    <w:basedOn w:val="Normal"/>
    <w:pPr>
      <w:spacing w:lineRule="auto" w:line="276" w:before="0" w:after="140"/>
    </w:pPr>
    <w:rPr/>
  </w:style>
  <w:style w:type="paragraph" w:styleId="Style8">
    <w:name w:val="List"/>
    <w:basedOn w:val="Style7"/>
    <w:pPr/>
    <w:rPr>
      <w:rFonts w:cs="Lucida Sans"/>
    </w:rPr>
  </w:style>
  <w:style w:type="paragraph" w:styleId="Style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0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3f6393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3f639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TopofForm">
    <w:name w:val="HTML Top of Form"/>
    <w:basedOn w:val="Normal"/>
    <w:next w:val="Normal"/>
    <w:link w:val="Z-"/>
    <w:uiPriority w:val="99"/>
    <w:semiHidden/>
    <w:unhideWhenUsed/>
    <w:qFormat/>
    <w:rsid w:val="00457432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next w:val="Normal"/>
    <w:link w:val="Z-1"/>
    <w:uiPriority w:val="99"/>
    <w:semiHidden/>
    <w:unhideWhenUsed/>
    <w:qFormat/>
    <w:rsid w:val="00457432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S9" w:customStyle="1">
    <w:name w:val="s_9"/>
    <w:basedOn w:val="Normal"/>
    <w:qFormat/>
    <w:rsid w:val="00736e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ad4d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Bullet">
    <w:name w:val="List Bullet"/>
    <w:basedOn w:val="Normal"/>
    <w:uiPriority w:val="99"/>
    <w:unhideWhenUsed/>
    <w:qFormat/>
    <w:rsid w:val="00df55b8"/>
    <w:pPr>
      <w:numPr>
        <w:ilvl w:val="0"/>
        <w:numId w:val="1"/>
      </w:numPr>
      <w:spacing w:before="0" w:after="20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2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52ECD-4203-42A4-8EA4-D51B0795D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1469</TotalTime>
  <Application>LibreOffice/7.5.0.3$Windows_X86_64 LibreOffice_project/c21113d003cd3efa8c53188764377a8272d9d6de</Application>
  <AppVersion>15.0000</AppVersion>
  <Pages>5</Pages>
  <Words>1180</Words>
  <Characters>8173</Characters>
  <CharactersWithSpaces>9421</CharactersWithSpaces>
  <Paragraphs>33</Paragraphs>
  <Company>Computer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2023-07-02T08:17:00Z</dcterms:created>
  <dc:creator>User</dc:creator>
  <dc:description/>
  <dc:language>ru-RU</dc:language>
  <cp:lastModifiedBy/>
  <dcterms:modified xsi:type="dcterms:W3CDTF">2025-01-27T18:49:51Z</dcterms:modified>
  <cp:revision>1102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