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color w:val="000000"/>
        </w:rPr>
      </w:pPr>
      <w:r>
        <w:rPr>
          <w:rFonts w:cs="Times New Roman" w:ascii="Times New Roman" w:hAnsi="Times New Roman"/>
          <w:color w:val="000000"/>
          <w:sz w:val="26"/>
          <w:szCs w:val="26"/>
        </w:rPr>
        <w:t>РЕШЕНИЕ № 3</w:t>
      </w:r>
      <w:r>
        <w:rPr>
          <w:rFonts w:cs="Times New Roman" w:ascii="Times New Roman" w:hAnsi="Times New Roman"/>
          <w:color w:val="000000"/>
          <w:sz w:val="26"/>
          <w:szCs w:val="26"/>
          <w:lang w:val="en-US"/>
        </w:rPr>
        <w:t>6</w:t>
      </w:r>
      <w:r>
        <w:rPr>
          <w:rFonts w:cs="Times New Roman" w:ascii="Times New Roman" w:hAnsi="Times New Roman"/>
          <w:color w:val="000000"/>
          <w:sz w:val="26"/>
          <w:szCs w:val="26"/>
        </w:rPr>
        <w:t>/2025</w:t>
      </w:r>
    </w:p>
    <w:p>
      <w:pPr>
        <w:pStyle w:val="Normal"/>
        <w:jc w:val="center"/>
        <w:rPr>
          <w:color w:val="000000"/>
        </w:rPr>
      </w:pPr>
      <w:r>
        <w:rPr>
          <w:rFonts w:cs="Times New Roman" w:ascii="Times New Roman" w:hAnsi="Times New Roman"/>
          <w:color w:val="000000"/>
          <w:sz w:val="26"/>
          <w:szCs w:val="26"/>
        </w:rPr>
        <w:t>по делу № 023/06/33-3</w:t>
      </w:r>
      <w:r>
        <w:rPr>
          <w:rFonts w:cs="Times New Roman" w:ascii="Times New Roman" w:hAnsi="Times New Roman"/>
          <w:color w:val="000000"/>
          <w:sz w:val="26"/>
          <w:szCs w:val="26"/>
          <w:lang w:val="en-US"/>
        </w:rPr>
        <w:t>42</w:t>
      </w:r>
      <w:r>
        <w:rPr>
          <w:rFonts w:cs="Times New Roman" w:ascii="Times New Roman" w:hAnsi="Times New Roman"/>
          <w:color w:val="000000"/>
          <w:sz w:val="26"/>
          <w:szCs w:val="26"/>
        </w:rPr>
        <w:t>/2025</w:t>
      </w:r>
    </w:p>
    <w:p>
      <w:pPr>
        <w:pStyle w:val="Normal"/>
        <w:jc w:val="center"/>
        <w:rPr>
          <w:color w:val="000000"/>
        </w:rPr>
      </w:pPr>
      <w:r>
        <w:rPr>
          <w:rFonts w:eastAsia="Times New Roman" w:cs="Times New Roman" w:ascii="Times New Roman" w:hAnsi="Times New Roman"/>
          <w:color w:val="000000"/>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color w:val="000000"/>
        </w:rPr>
      </w:pPr>
      <w:r>
        <w:rPr>
          <w:rFonts w:eastAsia="Times New Roman" w:cs="Times New Roman" w:ascii="Times New Roman" w:hAnsi="Times New Roman"/>
          <w:color w:val="000000"/>
          <w:sz w:val="26"/>
          <w:szCs w:val="26"/>
        </w:rPr>
        <w:t>2</w:t>
      </w:r>
      <w:r>
        <w:rPr>
          <w:rFonts w:eastAsia="Times New Roman" w:cs="Times New Roman" w:ascii="Times New Roman" w:hAnsi="Times New Roman"/>
          <w:color w:val="000000"/>
          <w:sz w:val="26"/>
          <w:szCs w:val="26"/>
          <w:lang w:val="en-US"/>
        </w:rPr>
        <w:t>3</w:t>
      </w:r>
      <w:r>
        <w:rPr>
          <w:rFonts w:eastAsia="Times New Roman" w:cs="Times New Roman" w:ascii="Times New Roman" w:hAnsi="Times New Roman"/>
          <w:color w:val="000000"/>
          <w:sz w:val="26"/>
          <w:szCs w:val="26"/>
        </w:rPr>
        <w:t xml:space="preserve"> января 2025 года                                                                                    г. Краснодар</w:t>
      </w:r>
    </w:p>
    <w:p>
      <w:pPr>
        <w:pStyle w:val="Normal"/>
        <w:jc w:val="both"/>
        <w:rPr>
          <w:color w:val="000000"/>
        </w:rPr>
      </w:pPr>
      <w:r>
        <w:rPr>
          <w:rFonts w:eastAsia="Times New Roman" w:cs="Times New Roman" w:ascii="Times New Roman" w:hAnsi="Times New Roman"/>
          <w:color w:val="000000"/>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pPr>
        <w:pStyle w:val="Normal"/>
        <w:jc w:val="both"/>
        <w:rPr>
          <w:color w:val="000000"/>
        </w:rPr>
      </w:pPr>
      <w:r>
        <w:rPr>
          <w:rFonts w:eastAsia="Times New Roman" w:cs="Times New Roman" w:ascii="Times New Roman" w:hAnsi="Times New Roman"/>
          <w:color w:val="000000"/>
          <w:sz w:val="26"/>
          <w:szCs w:val="26"/>
        </w:rPr>
        <w:t>рассмотрев жалобу ИП Дашкевич В.В. (далее Заявитель) на действия заказчика – ГБУЗ «ДККБ» МЗ КК при проведении электронного аукциона: «Поставка медицинских изделий (шапочки для назального СРАР)» (извещение № 0318200028125000001) в части нарушения законодательства о контрактной системе,</w:t>
      </w:r>
    </w:p>
    <w:p>
      <w:pPr>
        <w:pStyle w:val="Normal"/>
        <w:jc w:val="center"/>
        <w:rPr>
          <w:color w:val="000000"/>
        </w:rPr>
      </w:pPr>
      <w:r>
        <w:rPr>
          <w:rFonts w:cs="Times New Roman" w:ascii="Times New Roman" w:hAnsi="Times New Roman"/>
          <w:color w:val="000000"/>
          <w:sz w:val="26"/>
          <w:szCs w:val="26"/>
        </w:rPr>
        <w:t>УСТАНОВИЛА:</w:t>
      </w:r>
    </w:p>
    <w:p>
      <w:pPr>
        <w:pStyle w:val="Normal"/>
        <w:ind w:firstLine="708"/>
        <w:jc w:val="both"/>
        <w:rPr>
          <w:color w:val="000000"/>
        </w:rPr>
      </w:pPr>
      <w:r>
        <w:rPr>
          <w:rFonts w:cs="Times New Roman" w:ascii="Times New Roman" w:hAnsi="Times New Roman"/>
          <w:color w:val="000000"/>
          <w:sz w:val="26"/>
          <w:szCs w:val="26"/>
        </w:rPr>
        <w:t>Заявитель указывает, что описание объекта закупки составлено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размерные значения соответствуют продукции единственного производителя Интерсержикал Лтд; требование «клинически чистая упаковка» ограничивает участников.</w:t>
      </w:r>
    </w:p>
    <w:p>
      <w:pPr>
        <w:pStyle w:val="Normal"/>
        <w:jc w:val="both"/>
        <w:rPr>
          <w:color w:val="000000"/>
        </w:rPr>
      </w:pPr>
      <w:r>
        <w:rPr>
          <w:rFonts w:cs="Times New Roman" w:ascii="Times New Roman" w:hAnsi="Times New Roman"/>
          <w:color w:val="000000"/>
          <w:sz w:val="26"/>
          <w:szCs w:val="26"/>
        </w:rPr>
        <w:tab/>
        <w:t>Заказчиком предоставлены письменные пояснения, согласно которым  Описание объекта закупки соответствует ст.33 Закона о контрактной системе.</w:t>
        <w:tab/>
        <w:t>Рассмотрев представленные материалы, Комиссия пришла к следующим выводам.</w:t>
      </w:r>
    </w:p>
    <w:p>
      <w:pPr>
        <w:pStyle w:val="Normal"/>
        <w:jc w:val="both"/>
        <w:rPr>
          <w:color w:val="000000"/>
        </w:rPr>
      </w:pPr>
      <w:r>
        <w:rPr>
          <w:rFonts w:cs="Times New Roman" w:ascii="Times New Roman" w:hAnsi="Times New Roman"/>
          <w:color w:val="000000"/>
          <w:sz w:val="26"/>
          <w:szCs w:val="26"/>
        </w:rPr>
        <w:tab/>
        <w:t xml:space="preserve">Заказчиком – ГБУЗ «ДККБ» МЗ КК в ЕИС 13.01.2025 </w:t>
      </w:r>
      <w:r>
        <w:rPr>
          <w:rFonts w:eastAsia="Times New Roman" w:cs="Times New Roman" w:ascii="Times New Roman" w:hAnsi="Times New Roman"/>
          <w:color w:val="000000"/>
          <w:sz w:val="26"/>
          <w:szCs w:val="26"/>
        </w:rPr>
        <w:t>размещено извещение о проведении электронного аукциона: «Поставка медицинских изделий (шапочки для назального СРАР)» (извещение № 0318200028125000001) с НМЦК 436 960,00 рублей.</w:t>
      </w:r>
    </w:p>
    <w:p>
      <w:pPr>
        <w:pStyle w:val="Normal"/>
        <w:ind w:firstLine="567"/>
        <w:jc w:val="both"/>
        <w:rPr>
          <w:color w:val="000000"/>
        </w:rPr>
      </w:pPr>
      <w:r>
        <w:rPr>
          <w:rFonts w:cs="Times New Roman" w:ascii="Times New Roman" w:hAnsi="Times New Roman"/>
          <w:color w:val="000000"/>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ind w:firstLine="709"/>
        <w:jc w:val="both"/>
        <w:rPr>
          <w:color w:val="000000"/>
        </w:rPr>
      </w:pPr>
      <w:r>
        <w:rPr>
          <w:rFonts w:cs="Times New Roman" w:ascii="Times New Roman" w:hAnsi="Times New Roman"/>
          <w:color w:val="000000"/>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color w:val="000000"/>
        </w:rPr>
      </w:pPr>
      <w:r>
        <w:rPr>
          <w:rFonts w:cs="Times New Roman" w:ascii="Times New Roman" w:hAnsi="Times New Roman"/>
          <w:color w:val="000000"/>
          <w:sz w:val="26"/>
          <w:szCs w:val="26"/>
        </w:rPr>
        <w:t>1) описание объекта закупки в соответствии со статьей 33 настоящего Федерального закона;</w:t>
      </w:r>
    </w:p>
    <w:p>
      <w:pPr>
        <w:pStyle w:val="Normal"/>
        <w:ind w:firstLine="709"/>
        <w:jc w:val="both"/>
        <w:rPr>
          <w:color w:val="000000"/>
        </w:rPr>
      </w:pPr>
      <w:r>
        <w:rPr>
          <w:rFonts w:cs="Times New Roman" w:ascii="Times New Roman" w:hAnsi="Times New Roman"/>
          <w:color w:val="000000"/>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color w:val="000000"/>
        </w:rPr>
      </w:pPr>
      <w:r>
        <w:rPr>
          <w:rFonts w:cs="Times New Roman" w:ascii="Times New Roman" w:hAnsi="Times New Roman"/>
          <w:color w:val="000000"/>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color w:val="000000"/>
        </w:rPr>
      </w:pPr>
      <w:r>
        <w:rPr>
          <w:rFonts w:cs="Times New Roman" w:ascii="Times New Roman" w:hAnsi="Times New Roman"/>
          <w:color w:val="000000"/>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color w:val="000000"/>
        </w:rPr>
      </w:pPr>
      <w:r>
        <w:rPr>
          <w:rFonts w:cs="Times New Roman" w:ascii="Times New Roman" w:hAnsi="Times New Roman"/>
          <w:color w:val="000000"/>
          <w:sz w:val="26"/>
          <w:szCs w:val="26"/>
        </w:rPr>
        <w:t>5) проект контракта.</w:t>
      </w:r>
    </w:p>
    <w:p>
      <w:pPr>
        <w:pStyle w:val="S1"/>
        <w:shd w:val="clear" w:color="auto" w:fill="FFFFFF"/>
        <w:spacing w:beforeAutospacing="0" w:before="0" w:afterAutospacing="0" w:after="300"/>
        <w:ind w:firstLine="708"/>
        <w:jc w:val="both"/>
        <w:rPr>
          <w:color w:val="000000"/>
        </w:rPr>
      </w:pPr>
      <w:r>
        <w:rPr>
          <w:color w:val="000000"/>
          <w:sz w:val="26"/>
          <w:szCs w:val="26"/>
        </w:rPr>
        <w:t>Согласно п.1) ч.1 ст.33 Закона о контрактной системе </w:t>
      </w:r>
      <w:r>
        <w:rPr>
          <w:color w:val="000000"/>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000000"/>
        </w:rPr>
      </w:pPr>
      <w:r>
        <w:rPr>
          <w:color w:val="000000"/>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000000"/>
        </w:rPr>
      </w:pPr>
      <w:r>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000000"/>
        </w:rPr>
      </w:pPr>
      <w:r>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pPr>
      <w:r>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rStyle w:val="-"/>
          <w:sz w:val="26"/>
          <w:szCs w:val="26"/>
          <w:color w:val="000000"/>
        </w:rPr>
        <w:instrText xml:space="preserve"> HYPERLINK "https://base.garant.ru/408401807/13e5f39dbdac86e5a4915e063b0a7798/" \l "block_1000"</w:instrText>
      </w:r>
      <w:r>
        <w:rPr>
          <w:rStyle w:val="-"/>
          <w:sz w:val="26"/>
          <w:szCs w:val="26"/>
          <w:color w:val="000000"/>
        </w:rPr>
        <w:fldChar w:fldCharType="separate"/>
      </w:r>
      <w:r>
        <w:rPr>
          <w:rStyle w:val="-"/>
          <w:color w:val="000000"/>
          <w:sz w:val="26"/>
          <w:szCs w:val="26"/>
        </w:rPr>
        <w:t>Перечень</w:t>
      </w:r>
      <w:r>
        <w:rPr>
          <w:rStyle w:val="-"/>
          <w:sz w:val="26"/>
          <w:szCs w:val="26"/>
          <w:color w:val="000000"/>
        </w:rPr>
        <w:fldChar w:fldCharType="end"/>
      </w:r>
      <w:r>
        <w:rPr>
          <w:color w:val="000000"/>
          <w:sz w:val="26"/>
          <w:szCs w:val="26"/>
        </w:rPr>
        <w:t> указанных медицинских изделий, специализированных продуктов лечебного питания и </w:t>
      </w:r>
      <w:r>
        <w:fldChar w:fldCharType="begin"/>
      </w:r>
      <w:r>
        <w:rPr>
          <w:rStyle w:val="-"/>
          <w:sz w:val="26"/>
          <w:szCs w:val="26"/>
          <w:color w:val="000000"/>
        </w:rPr>
        <w:instrText xml:space="preserve"> HYPERLINK "https://base.garant.ru/407562325/f4e49e50581f8fb571fcdf9b91d0af76/" \l "block_1000"</w:instrText>
      </w:r>
      <w:r>
        <w:rPr>
          <w:rStyle w:val="-"/>
          <w:sz w:val="26"/>
          <w:szCs w:val="26"/>
          <w:color w:val="000000"/>
        </w:rPr>
        <w:fldChar w:fldCharType="separate"/>
      </w:r>
      <w:r>
        <w:rPr>
          <w:rStyle w:val="-"/>
          <w:color w:val="000000"/>
          <w:sz w:val="26"/>
          <w:szCs w:val="26"/>
        </w:rPr>
        <w:t>порядок</w:t>
      </w:r>
      <w:r>
        <w:rPr>
          <w:rStyle w:val="-"/>
          <w:sz w:val="26"/>
          <w:szCs w:val="26"/>
          <w:color w:val="000000"/>
        </w:rPr>
        <w:fldChar w:fldCharType="end"/>
      </w:r>
      <w:r>
        <w:rPr>
          <w:color w:val="000000"/>
          <w:sz w:val="26"/>
          <w:szCs w:val="26"/>
        </w:rPr>
        <w:t> его формирования утверждаются Правительством Российской Федерации.</w:t>
      </w:r>
    </w:p>
    <w:p>
      <w:pPr>
        <w:pStyle w:val="Normal"/>
        <w:ind w:firstLine="708"/>
        <w:jc w:val="both"/>
        <w:rPr>
          <w:color w:val="000000"/>
        </w:rPr>
      </w:pPr>
      <w:bookmarkStart w:id="0" w:name="dst744"/>
      <w:bookmarkEnd w:id="0"/>
      <w:r>
        <w:rPr>
          <w:rFonts w:cs="Times New Roman" w:ascii="Times New Roman" w:hAnsi="Times New Roman"/>
          <w:color w:val="000000"/>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color w:val="000000"/>
          <w:sz w:val="26"/>
          <w:szCs w:val="26"/>
        </w:rPr>
        <w:t xml:space="preserve"> </w:t>
      </w:r>
    </w:p>
    <w:p>
      <w:pPr>
        <w:pStyle w:val="Normal"/>
        <w:ind w:firstLine="540"/>
        <w:jc w:val="both"/>
        <w:rPr>
          <w:color w:val="000000"/>
        </w:rPr>
      </w:pPr>
      <w:r>
        <w:rPr>
          <w:rFonts w:eastAsia="Times New Roman" w:cs="Times New Roman" w:ascii="Times New Roman" w:hAnsi="Times New Roman"/>
          <w:color w:val="000000"/>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ind w:firstLine="540"/>
        <w:jc w:val="both"/>
        <w:rPr>
          <w:color w:val="000000"/>
        </w:rPr>
      </w:pPr>
      <w:r>
        <w:rPr>
          <w:rFonts w:eastAsia="Times New Roman" w:cs="Times New Roman" w:ascii="Times New Roman" w:hAnsi="Times New Roman"/>
          <w:color w:val="000000"/>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color w:val="000000"/>
        </w:rPr>
      </w:pPr>
      <w:r>
        <w:rPr>
          <w:rFonts w:eastAsia="Times New Roman" w:cs="Times New Roman" w:ascii="Times New Roman" w:hAnsi="Times New Roman"/>
          <w:color w:val="000000"/>
          <w:sz w:val="26"/>
          <w:szCs w:val="26"/>
        </w:rPr>
        <w:t>В Описании объекта установлены требования к закупаемому товару – лента для фиксации анестезиологической маски, одноразового использования КТРУ 32.50.21.121-000000085. В частности, заказчику необходим размер 2, 1, 00. Упаковка: индивидуальная, клинически чистая.</w:t>
      </w:r>
    </w:p>
    <w:p>
      <w:pPr>
        <w:pStyle w:val="Normal"/>
        <w:ind w:firstLine="708"/>
        <w:jc w:val="both"/>
        <w:rPr>
          <w:color w:val="000000"/>
        </w:rPr>
      </w:pPr>
      <w:r>
        <w:rPr>
          <w:rFonts w:cs="Times New Roman" w:ascii="Times New Roman" w:hAnsi="Times New Roman"/>
          <w:color w:val="000000"/>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color w:val="000000"/>
        </w:rPr>
      </w:pPr>
      <w:r>
        <w:rPr>
          <w:rFonts w:eastAsia="Times New Roman" w:cs="Times New Roman" w:ascii="Times New Roman" w:hAnsi="Times New Roman"/>
          <w:color w:val="000000"/>
          <w:sz w:val="26"/>
          <w:szCs w:val="26"/>
        </w:rPr>
        <w:t>Представители заказчика пояснили, что размер шапочки необходим для быстрой идентификации и правильного размещения на голове пациента. К примеру, размер 00 (20-23см) невозможно применить пациенту с окружностью головы 28-30см или более. Таким образом, указание размера является объективной характеристикой. Описанию объекта закупки соответствует товар производителей ФСР 2009/03551 («Интерседжикал Лтд»), РЗН 2022/17393 («Винцент Медикал Мануфэкчуринг Ко, Лтд»), РЗН 2022/17667 (ООО «Глобус»), РЗН 2020/17393 (Шаосинь Реборн Медикал Девайсес Ко, Лтд»).</w:t>
      </w:r>
    </w:p>
    <w:p>
      <w:pPr>
        <w:pStyle w:val="Normal"/>
        <w:ind w:firstLine="708"/>
        <w:jc w:val="both"/>
        <w:rPr>
          <w:color w:val="000000"/>
        </w:rPr>
      </w:pPr>
      <w:r>
        <w:rPr>
          <w:rFonts w:eastAsia="Times New Roman" w:cs="Times New Roman" w:ascii="Times New Roman" w:hAnsi="Times New Roman"/>
          <w:color w:val="000000"/>
          <w:sz w:val="26"/>
          <w:szCs w:val="26"/>
        </w:rPr>
        <w:t>Комиссией установлено, что ИП Дашкевич В.В. подал заявку с предложением товара по РЗН 2022/17667, согласно которому товар содержит размерный ряд, указанный в Описании объекта закупки.</w:t>
      </w:r>
    </w:p>
    <w:p>
      <w:pPr>
        <w:pStyle w:val="Normal"/>
        <w:ind w:firstLine="708"/>
        <w:jc w:val="both"/>
        <w:rPr>
          <w:color w:val="000000"/>
        </w:rPr>
      </w:pPr>
      <w:r>
        <w:rPr>
          <w:rFonts w:eastAsia="Times New Roman" w:cs="Times New Roman" w:ascii="Times New Roman" w:hAnsi="Times New Roman"/>
          <w:color w:val="000000"/>
          <w:sz w:val="26"/>
          <w:szCs w:val="26"/>
        </w:rPr>
        <w:t>Характеристика на упаковке «клинически чистая» указывает, что данное медицинское изделие производится в условиях чистых помещений. Требований к помещениям и маркировке на соответствие ГОСТ или иной нормативной документации в описании не устанавливается. Указанный в жалобе ГОСТ Р ИСО 14644-1-2017 регулирует требования к помещениям и связанным с ними контролируемым средам и не имеет отношения к закупаемому товару. ГОСТ Р ИСО 15223-1-2020 утратил силу. Также заказчик пояснил, что термин «клинически чистая упаковка» применяется производителями</w:t>
      </w:r>
      <w:bookmarkStart w:id="1" w:name="_GoBack"/>
      <w:bookmarkEnd w:id="1"/>
      <w:r>
        <w:rPr>
          <w:rFonts w:eastAsia="Times New Roman" w:cs="Times New Roman" w:ascii="Times New Roman" w:hAnsi="Times New Roman"/>
          <w:color w:val="000000"/>
          <w:sz w:val="26"/>
          <w:szCs w:val="26"/>
        </w:rPr>
        <w:t xml:space="preserve"> взамен «нестерильная упаковка». Запросы от участников не данному показателю не поступали.</w:t>
      </w:r>
    </w:p>
    <w:p>
      <w:pPr>
        <w:pStyle w:val="Normal"/>
        <w:ind w:firstLine="540"/>
        <w:jc w:val="both"/>
        <w:rPr>
          <w:color w:val="000000"/>
        </w:rPr>
      </w:pPr>
      <w:r>
        <w:rPr>
          <w:rFonts w:cs="Times New Roman" w:ascii="Times New Roman" w:hAnsi="Times New Roman"/>
          <w:color w:val="000000"/>
          <w:sz w:val="26"/>
          <w:szCs w:val="26"/>
          <w:shd w:fill="FFFFFF" w:val="clear"/>
        </w:rPr>
        <w:t xml:space="preserve">Таким образом, Описание объекта с учетом установленных обстоятельств не противоречит </w:t>
      </w:r>
      <w:r>
        <w:rPr>
          <w:rFonts w:cs="Times New Roman" w:ascii="Times New Roman" w:hAnsi="Times New Roman"/>
          <w:color w:val="000000"/>
          <w:sz w:val="26"/>
          <w:szCs w:val="26"/>
        </w:rPr>
        <w:t>п.1) ч.2 ст.42,</w:t>
      </w:r>
      <w:r>
        <w:rPr>
          <w:rFonts w:cs="Times New Roman" w:ascii="Times New Roman" w:hAnsi="Times New Roman"/>
          <w:color w:val="000000"/>
          <w:sz w:val="26"/>
          <w:szCs w:val="26"/>
          <w:shd w:fill="FFFFFF" w:val="clear"/>
        </w:rPr>
        <w:t xml:space="preserve"> п.1), п.2) ч.1 ст.33, ч.2 ст.33 Закона о контрактной системе.</w:t>
      </w:r>
    </w:p>
    <w:p>
      <w:pPr>
        <w:pStyle w:val="Normal"/>
        <w:ind w:firstLine="540"/>
        <w:jc w:val="both"/>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Комиссия, руководствуясь ч.15 ст.99, ч.8 ст.106 Закона о контрактной системе,</w:t>
      </w:r>
    </w:p>
    <w:p>
      <w:pPr>
        <w:pStyle w:val="Normal"/>
        <w:widowControl w:val="false"/>
        <w:numPr>
          <w:ilvl w:val="0"/>
          <w:numId w:val="0"/>
        </w:numPr>
        <w:spacing w:lineRule="auto" w:line="240" w:before="0" w:after="0"/>
        <w:ind w:firstLine="540"/>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Normal"/>
        <w:widowControl w:val="false"/>
        <w:numPr>
          <w:ilvl w:val="0"/>
          <w:numId w:val="0"/>
        </w:numPr>
        <w:spacing w:lineRule="auto" w:line="240" w:before="0" w:after="0"/>
        <w:ind w:firstLine="540"/>
        <w:jc w:val="center"/>
        <w:outlineLvl w:val="2"/>
        <w:rPr>
          <w:color w:val="000000"/>
        </w:rPr>
      </w:pPr>
      <w:r>
        <w:rPr>
          <w:rFonts w:cs="Times New Roman" w:ascii="Times New Roman" w:hAnsi="Times New Roman"/>
          <w:color w:val="000000"/>
          <w:sz w:val="26"/>
          <w:szCs w:val="26"/>
        </w:rPr>
        <w:t>РЕШИЛА:</w:t>
      </w:r>
    </w:p>
    <w:p>
      <w:pPr>
        <w:pStyle w:val="Normal"/>
        <w:widowControl w:val="false"/>
        <w:numPr>
          <w:ilvl w:val="0"/>
          <w:numId w:val="0"/>
        </w:numPr>
        <w:spacing w:lineRule="auto" w:line="240" w:before="0" w:after="0"/>
        <w:ind w:firstLine="540"/>
        <w:jc w:val="center"/>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жалобу ИП Дашкевич В.В. необоснованной.</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Отменить приостановление определения поставщика (подрядчика, исполнителя) в части подписания контракта (извещение № 0318200028125000001).</w:t>
      </w:r>
    </w:p>
    <w:p>
      <w:pPr>
        <w:pStyle w:val="ListParagraph"/>
        <w:widowControl w:val="false"/>
        <w:numPr>
          <w:ilvl w:val="0"/>
          <w:numId w:val="0"/>
        </w:numPr>
        <w:spacing w:lineRule="auto" w:line="240" w:before="0" w:after="0"/>
        <w:ind w:left="1065" w:hanging="0"/>
        <w:contextualSpacing/>
        <w:jc w:val="both"/>
        <w:outlineLvl w:val="2"/>
        <w:rPr>
          <w:color w:val="000000"/>
        </w:rPr>
      </w:pPr>
      <w:r>
        <w:rPr>
          <w:rFonts w:cs="Times New Roman" w:ascii="Times New Roman" w:hAnsi="Times New Roman"/>
          <w:color w:val="000000"/>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Normal"/>
        <w:spacing w:before="0" w:after="200"/>
        <w:rPr>
          <w:color w:val="000000"/>
        </w:rPr>
      </w:pPr>
      <w:r>
        <w:rPr>
          <w:color w:val="000000"/>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rPr/>
    </w:lvl>
    <w:lvl w:ilvl="1">
      <w:start w:val="1"/>
      <w:numFmt w:val="lowerLetter"/>
      <w:lvlText w:val="%2."/>
      <w:lvlJc w:val="left"/>
      <w:pPr>
        <w:tabs>
          <w:tab w:val="num" w:pos="0"/>
        </w:tabs>
        <w:ind w:left="1785" w:hanging="360"/>
      </w:pPr>
      <w:rPr/>
    </w:lvl>
    <w:lvl w:ilvl="2">
      <w:start w:val="1"/>
      <w:numFmt w:val="lowerRoman"/>
      <w:lvlText w:val="%3."/>
      <w:lvlJc w:val="right"/>
      <w:pPr>
        <w:tabs>
          <w:tab w:val="num" w:pos="0"/>
        </w:tabs>
        <w:ind w:left="2505" w:hanging="180"/>
      </w:pPr>
      <w:rPr/>
    </w:lvl>
    <w:lvl w:ilvl="3">
      <w:start w:val="1"/>
      <w:numFmt w:val="decimal"/>
      <w:lvlText w:val="%4."/>
      <w:lvlJc w:val="left"/>
      <w:pPr>
        <w:tabs>
          <w:tab w:val="num" w:pos="0"/>
        </w:tabs>
        <w:ind w:left="3225" w:hanging="360"/>
      </w:pPr>
      <w:rPr/>
    </w:lvl>
    <w:lvl w:ilvl="4">
      <w:start w:val="1"/>
      <w:numFmt w:val="lowerLetter"/>
      <w:lvlText w:val="%5."/>
      <w:lvlJc w:val="left"/>
      <w:pPr>
        <w:tabs>
          <w:tab w:val="num" w:pos="0"/>
        </w:tabs>
        <w:ind w:left="3945" w:hanging="360"/>
      </w:pPr>
      <w:rPr/>
    </w:lvl>
    <w:lvl w:ilvl="5">
      <w:start w:val="1"/>
      <w:numFmt w:val="lowerRoman"/>
      <w:lvlText w:val="%6."/>
      <w:lvlJc w:val="right"/>
      <w:pPr>
        <w:tabs>
          <w:tab w:val="num" w:pos="0"/>
        </w:tabs>
        <w:ind w:left="4665" w:hanging="180"/>
      </w:pPr>
      <w:rPr/>
    </w:lvl>
    <w:lvl w:ilvl="6">
      <w:start w:val="1"/>
      <w:numFmt w:val="decimal"/>
      <w:lvlText w:val="%7."/>
      <w:lvlJc w:val="left"/>
      <w:pPr>
        <w:tabs>
          <w:tab w:val="num" w:pos="0"/>
        </w:tabs>
        <w:ind w:left="5385" w:hanging="360"/>
      </w:pPr>
      <w:rPr/>
    </w:lvl>
    <w:lvl w:ilvl="7">
      <w:start w:val="1"/>
      <w:numFmt w:val="lowerLetter"/>
      <w:lvlText w:val="%8."/>
      <w:lvlJc w:val="left"/>
      <w:pPr>
        <w:tabs>
          <w:tab w:val="num" w:pos="0"/>
        </w:tabs>
        <w:ind w:left="6105" w:hanging="360"/>
      </w:pPr>
      <w:rPr/>
    </w:lvl>
    <w:lvl w:ilvl="8">
      <w:start w:val="1"/>
      <w:numFmt w:val="lowerRoman"/>
      <w:lvlText w:val="%9."/>
      <w:lvlJc w:val="right"/>
      <w:pPr>
        <w:tabs>
          <w:tab w:val="num" w:pos="0"/>
        </w:tabs>
        <w:ind w:left="6825"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639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1"/>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1"/>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1"/>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
    <w:name w:val="Hyperlink"/>
    <w:basedOn w:val="DefaultParagraphFont"/>
    <w:uiPriority w:val="99"/>
    <w:semiHidden/>
    <w:unhideWhenUsed/>
    <w:rsid w:val="003f6393"/>
    <w:rPr>
      <w:color w:val="0000FF"/>
      <w:u w:val="single"/>
    </w:rPr>
  </w:style>
  <w:style w:type="character" w:styleId="21" w:customStyle="1">
    <w:name w:val="Заголовок 2 Знак"/>
    <w:basedOn w:val="DefaultParagraphFont"/>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HTMLTopofForm"/>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HTMLBottomofForm"/>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6">
    <w:name w:val="Заголовок"/>
    <w:basedOn w:val="Normal"/>
    <w:next w:val="Style7"/>
    <w:qFormat/>
    <w:pPr>
      <w:keepNext w:val="true"/>
      <w:spacing w:before="240" w:after="120"/>
    </w:pPr>
    <w:rPr>
      <w:rFonts w:ascii="Liberation Sans" w:hAnsi="Liberation Sans" w:eastAsia="Microsoft YaHei" w:cs="Lucida Sans"/>
      <w:sz w:val="28"/>
      <w:szCs w:val="28"/>
    </w:rPr>
  </w:style>
  <w:style w:type="paragraph" w:styleId="Style7">
    <w:name w:val="Body Text"/>
    <w:basedOn w:val="Normal"/>
    <w:pPr>
      <w:spacing w:lineRule="auto" w:line="276" w:before="0" w:after="140"/>
    </w:pPr>
    <w:rPr/>
  </w:style>
  <w:style w:type="paragraph" w:styleId="Style8">
    <w:name w:val="List"/>
    <w:basedOn w:val="Style7"/>
    <w:pPr/>
    <w:rPr>
      <w:rFonts w:cs="Lucida Sans"/>
    </w:rPr>
  </w:style>
  <w:style w:type="paragraph" w:styleId="Style9">
    <w:name w:val="Caption"/>
    <w:basedOn w:val="Normal"/>
    <w:qFormat/>
    <w:pPr>
      <w:suppressLineNumbers/>
      <w:spacing w:before="120" w:after="120"/>
    </w:pPr>
    <w:rPr>
      <w:rFonts w:cs="Lucida Sans"/>
      <w:i/>
      <w:iCs/>
      <w:sz w:val="24"/>
      <w:szCs w:val="24"/>
    </w:rPr>
  </w:style>
  <w:style w:type="paragraph" w:styleId="Style10">
    <w:name w:val="Указатель"/>
    <w:basedOn w:val="Normal"/>
    <w:qFormat/>
    <w:pPr>
      <w:suppressLineNumbers/>
    </w:pPr>
    <w:rPr>
      <w:rFonts w:cs="Lucida Sans"/>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1"/>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069EB-8F12-4C85-BCAC-678BD3851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Application>LibreOffice/7.5.0.3$Windows_X86_64 LibreOffice_project/c21113d003cd3efa8c53188764377a8272d9d6de</Application>
  <AppVersion>15.0000</AppVersion>
  <Pages>5</Pages>
  <Words>1146</Words>
  <Characters>8286</Characters>
  <CharactersWithSpaces>9489</CharactersWithSpaces>
  <Paragraphs>36</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2025-01-28T17:32:49Z</dcterms:modified>
  <cp:revision>777</cp:revision>
  <dc:subject/>
  <dc:title/>
</cp:coreProperties>
</file>

<file path=docProps/custom.xml><?xml version="1.0" encoding="utf-8"?>
<Properties xmlns="http://schemas.openxmlformats.org/officeDocument/2006/custom-properties" xmlns:vt="http://schemas.openxmlformats.org/officeDocument/2006/docPropsVTypes"/>
</file>