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color w:val="000000"/>
        </w:rPr>
      </w:pPr>
      <w:r>
        <w:rPr>
          <w:rFonts w:cs="Times New Roman" w:ascii="Times New Roman" w:hAnsi="Times New Roman"/>
          <w:color w:val="000000"/>
          <w:sz w:val="26"/>
          <w:szCs w:val="26"/>
        </w:rPr>
        <w:t>РЕШЕНИЕ № 1000/2024</w:t>
      </w:r>
    </w:p>
    <w:p>
      <w:pPr>
        <w:pStyle w:val="Normal"/>
        <w:jc w:val="center"/>
        <w:rPr>
          <w:color w:val="000000"/>
        </w:rPr>
      </w:pPr>
      <w:r>
        <w:rPr>
          <w:rFonts w:cs="Times New Roman" w:ascii="Times New Roman" w:hAnsi="Times New Roman"/>
          <w:color w:val="000000"/>
          <w:sz w:val="26"/>
          <w:szCs w:val="26"/>
        </w:rPr>
        <w:t>по делу № 023/06/42-5395/2024</w:t>
      </w:r>
    </w:p>
    <w:p>
      <w:pPr>
        <w:pStyle w:val="Normal"/>
        <w:jc w:val="center"/>
        <w:rPr>
          <w:color w:val="000000"/>
        </w:rPr>
      </w:pPr>
      <w:r>
        <w:rPr>
          <w:rFonts w:eastAsia="Times New Roman" w:cs="Times New Roman" w:ascii="Times New Roman" w:hAnsi="Times New Roman"/>
          <w:color w:val="000000"/>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color w:val="000000"/>
        </w:rPr>
      </w:pPr>
      <w:r>
        <w:rPr>
          <w:rFonts w:eastAsia="Times New Roman" w:cs="Times New Roman" w:ascii="Times New Roman" w:hAnsi="Times New Roman"/>
          <w:color w:val="000000"/>
          <w:sz w:val="26"/>
          <w:szCs w:val="26"/>
        </w:rPr>
        <w:t xml:space="preserve">25 октября 2024 года                                                                             </w:t>
      </w:r>
      <w:bookmarkStart w:id="0" w:name="_GoBack"/>
      <w:bookmarkEnd w:id="0"/>
      <w:r>
        <w:rPr>
          <w:rFonts w:eastAsia="Times New Roman" w:cs="Times New Roman" w:ascii="Times New Roman" w:hAnsi="Times New Roman"/>
          <w:color w:val="000000"/>
          <w:sz w:val="26"/>
          <w:szCs w:val="26"/>
        </w:rPr>
        <w:t xml:space="preserve">         г. Краснодар</w:t>
      </w:r>
    </w:p>
    <w:p>
      <w:pPr>
        <w:pStyle w:val="Normal"/>
        <w:jc w:val="both"/>
        <w:rPr>
          <w:color w:val="000000"/>
        </w:rPr>
      </w:pPr>
      <w:r>
        <w:rPr>
          <w:rFonts w:eastAsia="Times New Roman" w:cs="Times New Roman" w:ascii="Times New Roman" w:hAnsi="Times New Roman"/>
          <w:color w:val="000000"/>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pPr>
        <w:pStyle w:val="Normal"/>
        <w:ind w:hanging="0"/>
        <w:jc w:val="both"/>
        <w:rPr>
          <w:color w:val="000000"/>
        </w:rPr>
      </w:pPr>
      <w:r>
        <w:rPr>
          <w:rFonts w:eastAsia="Times New Roman" w:cs="Times New Roman" w:ascii="Times New Roman" w:hAnsi="Times New Roman"/>
          <w:color w:val="000000"/>
          <w:sz w:val="26"/>
          <w:szCs w:val="26"/>
        </w:rPr>
        <w:t>рассмотрев жалобу ПАО «Ростелеком» (далее Заявитель) на действия заказчика – УЖКХ администрации МО г. Армавир, уполномоченного органа – управления по закупкам для муниципальных нужд администрации МО г. Армавир при проведении открытого конкурса в электронной форме на оказание услуг по проведению энергоэффективных мероприятий, направленных на энергосбережение и повышение энергетической эффективности использования электрической энергии при эксплуатации системы уличного (наружного) освещения на территории муниципального образования город Армавир (извещение № 0318300552924000763) в части нарушения законодательства о контрактной системе,</w:t>
      </w:r>
    </w:p>
    <w:p>
      <w:pPr>
        <w:pStyle w:val="Normal"/>
        <w:jc w:val="center"/>
        <w:rPr>
          <w:color w:val="000000"/>
        </w:rPr>
      </w:pPr>
      <w:r>
        <w:rPr>
          <w:rFonts w:cs="Times New Roman" w:ascii="Times New Roman" w:hAnsi="Times New Roman"/>
          <w:color w:val="000000"/>
          <w:sz w:val="26"/>
          <w:szCs w:val="26"/>
        </w:rPr>
        <w:t>УСТАНОВИЛА:</w:t>
      </w:r>
    </w:p>
    <w:p>
      <w:pPr>
        <w:pStyle w:val="Normal"/>
        <w:ind w:firstLine="708"/>
        <w:jc w:val="both"/>
        <w:rPr>
          <w:color w:val="000000"/>
        </w:rPr>
      </w:pPr>
      <w:r>
        <w:rPr>
          <w:rFonts w:cs="Times New Roman" w:ascii="Times New Roman" w:hAnsi="Times New Roman"/>
          <w:color w:val="000000"/>
          <w:sz w:val="26"/>
          <w:szCs w:val="26"/>
        </w:rPr>
        <w:t>Заявитель указывает, что закупка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неиспользование поз. КТРУ 27.40.25.123-00000051, 27.40.25.123-00000050; в состав лота включены технологически и функционально не связанные работы/мероприятия (энергетическое обследование); объединены в один лот товары, включенные в перечень Постановления №616, и не включенные; нарушены требования к порядку определения объема потребления энергетического ресурса; не определено существенное условие контракта – место оказания услуг, отсутствует адресный перечень энергоэффективных мероприятий; в проекте контракта установлены условия энергосервисного контракта в нарушение постановления Правительства РФ от 18.08.2010 №636; в проекте контракта условия о цене контракта противоречат ч.13 ст.108 Закона о контрактной системе; не определены существенные условия контракта о распределении дополнительной экономии между сторонами контракта; в извещении и приложении отсутствуют единообразные условия об этапах исполнения контракта; условия контракта, устанавливающие правила обмена между сторонами, нарушают ч.16 ст.94 Закона о контрактной системе.</w:t>
      </w:r>
    </w:p>
    <w:p>
      <w:pPr>
        <w:pStyle w:val="Normal"/>
        <w:jc w:val="both"/>
        <w:rPr>
          <w:color w:val="000000"/>
        </w:rPr>
      </w:pPr>
      <w:r>
        <w:rPr>
          <w:rFonts w:cs="Times New Roman" w:ascii="Times New Roman" w:hAnsi="Times New Roman"/>
          <w:color w:val="000000"/>
          <w:sz w:val="26"/>
          <w:szCs w:val="26"/>
        </w:rPr>
        <w:tab/>
        <w:t>Заказчиком предоставлены письменные пояснения, согласно которым условия закупки соответствуют положениям Закона о контрактной системы. Заказчик не обязан использовать поз. КТРУ, так как код ОКПД2 71.12.11.100 не включен в перечень. Характеристики оборудования указаны в соответствии с постановлением Правительства РФ от 24.12.2020 №2255. Указанное в документации энергетическое обследование не является таковым по смыслу Федерального закона от 23.11.2009 №261-ФЗ. Заказчик подразумевает техническое обследование и выработку технического решения для определения мест установки шкафов управления наружным освещением и мест прокладки СИП, определение типов креплений ШУНО, определение мест установки светильников, мест расположения опор. Проведение энергетического обследования не предполагает составление энергетического паспорта или отчета о проведении обследования. Проведение обследования также включит в себя адреса размещения новых светильников. П.12 Постановления №616 не применим, поскольку светильники, шкафы управления не являются предметом контракта. Объем потребления энергетического ресурса за период с января по декабрь 2023 определен по приорам учета в соответствии с расшифровкой энергосбытовой организации. Потребление в поселках ВИМ-2 и Химик фиксировалось также по установленным приборам учета. Ответственность сторон, предусмотренная Постановлением №1042 и Постановлением №636, дополняет друг друга. Проект контракта соответствует п.3) ч.3 ст.108 Закона о контрактной системе. В извещении определены не 3 этапа исполнения контракта, а 3 этапа финансового обеспечения закупки. Формулировка п.13.3.1 контракта не противоречит Закону о контрактной системе и по смыслу соответствует ч.16 ст.94 Закона о контрактной системе.</w:t>
      </w:r>
    </w:p>
    <w:p>
      <w:pPr>
        <w:pStyle w:val="Normal"/>
        <w:jc w:val="both"/>
        <w:rPr>
          <w:color w:val="000000"/>
        </w:rPr>
      </w:pPr>
      <w:r>
        <w:rPr>
          <w:rFonts w:cs="Times New Roman" w:ascii="Times New Roman" w:hAnsi="Times New Roman"/>
          <w:color w:val="000000"/>
          <w:sz w:val="26"/>
          <w:szCs w:val="26"/>
        </w:rPr>
        <w:tab/>
        <w:t>ООО «Энергоника» предоставлены письменные возражения, согласно которым с доводами жалобы не согласно.</w:t>
      </w:r>
    </w:p>
    <w:p>
      <w:pPr>
        <w:pStyle w:val="Normal"/>
        <w:jc w:val="both"/>
        <w:rPr>
          <w:color w:val="000000"/>
        </w:rPr>
      </w:pPr>
      <w:r>
        <w:rPr>
          <w:rFonts w:cs="Times New Roman" w:ascii="Times New Roman" w:hAnsi="Times New Roman"/>
          <w:color w:val="000000"/>
          <w:sz w:val="26"/>
          <w:szCs w:val="26"/>
        </w:rPr>
        <w:tab/>
        <w:t>Рассмотрев представленные материалы, Комиссия пришла к следующим выводам.</w:t>
      </w:r>
    </w:p>
    <w:p>
      <w:pPr>
        <w:pStyle w:val="Normal"/>
        <w:jc w:val="both"/>
        <w:rPr>
          <w:color w:val="000000"/>
        </w:rPr>
      </w:pPr>
      <w:r>
        <w:rPr>
          <w:rFonts w:cs="Times New Roman" w:ascii="Times New Roman" w:hAnsi="Times New Roman"/>
          <w:color w:val="000000"/>
          <w:sz w:val="26"/>
          <w:szCs w:val="26"/>
        </w:rPr>
        <w:tab/>
        <w:t xml:space="preserve">Уполномоченным органом – управлением закупок администрации МО г. Армавир после проверки заявки заказчика в ЕИС 11.10.2024 </w:t>
      </w:r>
      <w:r>
        <w:rPr>
          <w:rFonts w:eastAsia="Times New Roman" w:cs="Times New Roman" w:ascii="Times New Roman" w:hAnsi="Times New Roman"/>
          <w:color w:val="000000"/>
          <w:sz w:val="26"/>
          <w:szCs w:val="26"/>
        </w:rPr>
        <w:t>размещено извещение о проведении открытого конкурса в электронной форме на оказание услуг по проведению энергоэффективных мероприятий, направленных на энергосбережение и повышение энергетической эффективности использования электрической энергии при эксплуатации системы уличного (наружного) освещения на территории муниципального образования город Армавир (извещение № 0318300552924000763) с НМЦК 285 745 402,88 рублей. Заказчик – УЖКХ администрации МО г. Армавир.</w:t>
      </w:r>
    </w:p>
    <w:p>
      <w:pPr>
        <w:pStyle w:val="Normal"/>
        <w:ind w:firstLine="567"/>
        <w:jc w:val="both"/>
        <w:rPr>
          <w:color w:val="000000"/>
        </w:rPr>
      </w:pPr>
      <w:r>
        <w:rPr>
          <w:rFonts w:cs="Times New Roman" w:ascii="Times New Roman" w:hAnsi="Times New Roman"/>
          <w:color w:val="000000"/>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ind w:firstLine="709"/>
        <w:jc w:val="both"/>
        <w:rPr>
          <w:color w:val="000000"/>
        </w:rPr>
      </w:pPr>
      <w:r>
        <w:rPr>
          <w:rFonts w:cs="Times New Roman" w:ascii="Times New Roman" w:hAnsi="Times New Roman"/>
          <w:color w:val="000000"/>
          <w:sz w:val="26"/>
          <w:szCs w:val="26"/>
        </w:rPr>
        <w:t>В соответствии с п.1), п.5)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 проект контракта.</w:t>
      </w:r>
    </w:p>
    <w:p>
      <w:pPr>
        <w:pStyle w:val="S1"/>
        <w:shd w:val="clear" w:color="auto" w:fill="FFFFFF"/>
        <w:spacing w:beforeAutospacing="0" w:before="0" w:afterAutospacing="0" w:after="300"/>
        <w:ind w:firstLine="708"/>
        <w:jc w:val="both"/>
        <w:rPr>
          <w:color w:val="000000"/>
        </w:rPr>
      </w:pPr>
      <w:r>
        <w:rPr>
          <w:color w:val="000000"/>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000000"/>
        </w:rPr>
      </w:pPr>
      <w:r>
        <w:rPr>
          <w:color w:val="000000"/>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000000"/>
        </w:rPr>
      </w:pPr>
      <w:r>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000000"/>
        </w:rPr>
      </w:pPr>
      <w:r>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pPr>
      <w:r>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000000"/>
        </w:rPr>
        <w:instrText> HYPERLINK "https://base.garant.ru/408401807/13e5f39dbdac86e5a4915e063b0a7798/" \l "block_1000"</w:instrText>
      </w:r>
      <w:r>
        <w:rPr>
          <w:sz w:val="26"/>
          <w:szCs w:val="26"/>
          <w:color w:val="000000"/>
        </w:rPr>
        <w:fldChar w:fldCharType="separate"/>
      </w:r>
      <w:r>
        <w:rPr>
          <w:color w:val="000000"/>
          <w:sz w:val="26"/>
          <w:szCs w:val="26"/>
        </w:rPr>
        <w:t>Перечень</w:t>
      </w:r>
      <w:r>
        <w:rPr>
          <w:sz w:val="26"/>
          <w:szCs w:val="26"/>
          <w:color w:val="000000"/>
        </w:rPr>
        <w:fldChar w:fldCharType="end"/>
      </w:r>
      <w:r>
        <w:rPr>
          <w:color w:val="000000"/>
          <w:sz w:val="26"/>
          <w:szCs w:val="26"/>
        </w:rPr>
        <w:t> указанных медицинских изделий, специализированных продуктов лечебного питания и </w:t>
      </w:r>
      <w:r>
        <w:fldChar w:fldCharType="begin"/>
      </w:r>
      <w:r>
        <w:rPr>
          <w:sz w:val="26"/>
          <w:szCs w:val="26"/>
          <w:color w:val="000000"/>
        </w:rPr>
        <w:instrText> HYPERLINK "https://base.garant.ru/407562325/f4e49e50581f8fb571fcdf9b91d0af76/" \l "block_1000"</w:instrText>
      </w:r>
      <w:r>
        <w:rPr>
          <w:sz w:val="26"/>
          <w:szCs w:val="26"/>
          <w:color w:val="000000"/>
        </w:rPr>
        <w:fldChar w:fldCharType="separate"/>
      </w:r>
      <w:r>
        <w:rPr>
          <w:color w:val="000000"/>
          <w:sz w:val="26"/>
          <w:szCs w:val="26"/>
        </w:rPr>
        <w:t>порядок</w:t>
      </w:r>
      <w:r>
        <w:rPr>
          <w:sz w:val="26"/>
          <w:szCs w:val="26"/>
          <w:color w:val="000000"/>
        </w:rPr>
        <w:fldChar w:fldCharType="end"/>
      </w:r>
      <w:r>
        <w:rPr>
          <w:color w:val="000000"/>
          <w:sz w:val="26"/>
          <w:szCs w:val="26"/>
        </w:rPr>
        <w:t> его формирования утверждаются Правительством Российской Федерации.</w:t>
      </w:r>
    </w:p>
    <w:p>
      <w:pPr>
        <w:pStyle w:val="Normal"/>
        <w:ind w:firstLine="708"/>
        <w:jc w:val="both"/>
        <w:rPr>
          <w:color w:val="000000"/>
        </w:rPr>
      </w:pPr>
      <w:bookmarkStart w:id="1" w:name="dst744"/>
      <w:bookmarkEnd w:id="1"/>
      <w:r>
        <w:rPr>
          <w:rFonts w:cs="Times New Roman" w:ascii="Times New Roman" w:hAnsi="Times New Roman"/>
          <w:color w:val="000000"/>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color w:val="000000"/>
          <w:sz w:val="26"/>
          <w:szCs w:val="26"/>
        </w:rPr>
        <w:t xml:space="preserve"> </w:t>
      </w:r>
    </w:p>
    <w:p>
      <w:pPr>
        <w:pStyle w:val="Normal"/>
        <w:ind w:firstLine="708"/>
        <w:jc w:val="both"/>
        <w:rPr>
          <w:color w:val="000000"/>
        </w:rPr>
      </w:pPr>
      <w:r>
        <w:rPr>
          <w:rFonts w:eastAsia="Times New Roman" w:cs="Times New Roman" w:ascii="Times New Roman" w:hAnsi="Times New Roman"/>
          <w:color w:val="000000"/>
          <w:sz w:val="26"/>
          <w:szCs w:val="26"/>
        </w:rPr>
        <w:t xml:space="preserve">Заявитель указывает, что при описании объекта закупки не использовалась обязательная позиция КТРУ </w:t>
      </w:r>
      <w:r>
        <w:rPr>
          <w:rFonts w:cs="Times New Roman" w:ascii="Times New Roman" w:hAnsi="Times New Roman"/>
          <w:color w:val="000000"/>
          <w:sz w:val="26"/>
          <w:szCs w:val="26"/>
        </w:rPr>
        <w:t>27.40.25.123-00000051, 27.40.25.123-00000050.</w:t>
      </w:r>
    </w:p>
    <w:p>
      <w:pPr>
        <w:pStyle w:val="Normal"/>
        <w:jc w:val="both"/>
        <w:rPr>
          <w:color w:val="000000"/>
        </w:rPr>
      </w:pPr>
      <w:r>
        <w:rPr>
          <w:rFonts w:eastAsia="Times New Roman" w:cs="Times New Roman" w:ascii="Times New Roman" w:hAnsi="Times New Roman"/>
          <w:color w:val="000000"/>
          <w:sz w:val="26"/>
          <w:szCs w:val="26"/>
        </w:rPr>
        <w:tab/>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color w:val="000000"/>
        </w:rPr>
      </w:pPr>
      <w:r>
        <w:rPr>
          <w:rFonts w:eastAsia="Times New Roman" w:cs="Times New Roman" w:ascii="Times New Roman" w:hAnsi="Times New Roman"/>
          <w:color w:val="000000"/>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пункты 22-27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 </w:t>
      </w:r>
    </w:p>
    <w:p>
      <w:pPr>
        <w:pStyle w:val="Normal"/>
        <w:ind w:firstLine="709"/>
        <w:jc w:val="both"/>
        <w:rPr>
          <w:color w:val="000000"/>
        </w:rPr>
      </w:pPr>
      <w:r>
        <w:rPr>
          <w:rFonts w:eastAsia="Times New Roman" w:cs="Times New Roman" w:ascii="Times New Roman" w:hAnsi="Times New Roman"/>
          <w:color w:val="000000"/>
          <w:sz w:val="26"/>
          <w:szCs w:val="26"/>
        </w:rPr>
        <w:t xml:space="preserve">В извещении заказчиком установлены запреты в соответствии с Постановлением Правительства РФ </w:t>
      </w:r>
      <w:r>
        <w:rPr>
          <w:rFonts w:cs="Times New Roman" w:ascii="Times New Roman" w:hAnsi="Times New Roman"/>
          <w:color w:val="000000"/>
          <w:sz w:val="26"/>
          <w:szCs w:val="26"/>
        </w:rPr>
        <w:t xml:space="preserve">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Постановление №616) </w:t>
      </w:r>
      <w:r>
        <w:rPr>
          <w:rFonts w:eastAsia="Times New Roman" w:cs="Times New Roman" w:ascii="Times New Roman" w:hAnsi="Times New Roman"/>
          <w:color w:val="000000"/>
          <w:sz w:val="26"/>
          <w:szCs w:val="26"/>
        </w:rPr>
        <w:t xml:space="preserve">и </w:t>
      </w:r>
      <w:r>
        <w:rPr>
          <w:rFonts w:cs="Times New Roman" w:ascii="Times New Roman" w:hAnsi="Times New Roman"/>
          <w:color w:val="000000"/>
          <w:sz w:val="26"/>
          <w:szCs w:val="26"/>
        </w:rPr>
        <w:t xml:space="preserve">Постановлением №1236. </w:t>
      </w:r>
    </w:p>
    <w:p>
      <w:pPr>
        <w:pStyle w:val="Normal"/>
        <w:ind w:firstLine="708"/>
        <w:jc w:val="both"/>
        <w:rPr>
          <w:color w:val="000000"/>
        </w:rPr>
      </w:pPr>
      <w:r>
        <w:rPr>
          <w:rFonts w:cs="Times New Roman" w:ascii="Times New Roman" w:hAnsi="Times New Roman"/>
          <w:color w:val="000000"/>
          <w:sz w:val="26"/>
          <w:szCs w:val="26"/>
        </w:rPr>
        <w:t>В Приложении №2 к Описанию объекта закупки установлены требования к значениям показателей (характеристикам) светодиодных светильников, удовлетворяющие потребности заказчика или показатели эквивалентности основного товара, используемого при выполнении работ – светильник уличный консольный ОКПД2 27.40.39.113. При этом, в нарушение ч.6 ст.23 Закона о контрактной системе, Постановления №145 при описании характеристик не использовалась позиция КТРУ 27.40.25.123-00000051, 27.40.25.123-00000050.</w:t>
      </w:r>
    </w:p>
    <w:p>
      <w:pPr>
        <w:pStyle w:val="Normal"/>
        <w:ind w:firstLine="709"/>
        <w:jc w:val="both"/>
        <w:rPr>
          <w:color w:val="000000"/>
        </w:rPr>
      </w:pPr>
      <w:r>
        <w:rPr>
          <w:rFonts w:cs="Times New Roman" w:ascii="Times New Roman" w:hAnsi="Times New Roman"/>
          <w:color w:val="000000"/>
          <w:sz w:val="26"/>
          <w:szCs w:val="26"/>
        </w:rPr>
        <w:t>Приложением № 3 к проекту контракта «Перечень энергосберегающих мероприятий на объекте энергосервиса и сроки достижения экономии» предусмотрено выполнение следующих мероприятий при исполнении контракта, в частности:</w:t>
      </w:r>
      <w:r>
        <w:rPr>
          <w:rFonts w:cs="Times New Roman" w:ascii="Times New Roman" w:hAnsi="Times New Roman"/>
          <w:bCs/>
          <w:color w:val="000000"/>
          <w:sz w:val="26"/>
          <w:szCs w:val="26"/>
          <w:lang w:bidi="en-US"/>
        </w:rPr>
        <w:t xml:space="preserve"> </w:t>
      </w:r>
      <w:r>
        <w:rPr>
          <w:rFonts w:cs="Times New Roman" w:ascii="Times New Roman" w:hAnsi="Times New Roman"/>
          <w:color w:val="000000"/>
          <w:sz w:val="26"/>
          <w:szCs w:val="26"/>
          <w:u w:val="single"/>
        </w:rPr>
        <w:t>- проведение энергетического обследования.</w:t>
      </w:r>
      <w:r>
        <w:rPr>
          <w:rFonts w:cs="Times New Roman" w:ascii="Times New Roman" w:hAnsi="Times New Roman"/>
          <w:color w:val="000000"/>
          <w:sz w:val="26"/>
          <w:szCs w:val="26"/>
        </w:rPr>
        <w:t xml:space="preserve"> Энергетическое обследование является самостоятельным мероприятием, которое не направлено на энергосбережение и повышение энергетической эффективности и не приводит к достижению экономии энергетического ресурса. </w:t>
      </w:r>
    </w:p>
    <w:p>
      <w:pPr>
        <w:pStyle w:val="Normal"/>
        <w:ind w:firstLine="709"/>
        <w:jc w:val="both"/>
        <w:rPr>
          <w:color w:val="000000"/>
        </w:rPr>
      </w:pPr>
      <w:r>
        <w:rPr>
          <w:rFonts w:cs="Times New Roman" w:ascii="Times New Roman" w:hAnsi="Times New Roman"/>
          <w:color w:val="000000"/>
          <w:sz w:val="26"/>
          <w:szCs w:val="26"/>
        </w:rPr>
        <w:t xml:space="preserve">В соответствии с ч. 2 ст. 15 </w:t>
      </w:r>
      <w:r>
        <w:rPr>
          <w:rFonts w:cs="Times New Roman" w:ascii="Times New Roman" w:hAnsi="Times New Roman"/>
          <w:bCs/>
          <w:color w:val="000000"/>
          <w:sz w:val="26"/>
          <w:szCs w:val="26"/>
        </w:rPr>
        <w:t>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cs="Times New Roman" w:ascii="Times New Roman" w:hAnsi="Times New Roman"/>
          <w:b/>
          <w:bCs/>
          <w:color w:val="000000"/>
          <w:sz w:val="26"/>
          <w:szCs w:val="26"/>
        </w:rPr>
        <w:t xml:space="preserve">» </w:t>
      </w:r>
      <w:r>
        <w:rPr>
          <w:rFonts w:cs="Times New Roman" w:ascii="Times New Roman" w:hAnsi="Times New Roman"/>
          <w:bCs/>
          <w:color w:val="000000"/>
          <w:sz w:val="26"/>
          <w:szCs w:val="26"/>
        </w:rPr>
        <w:t xml:space="preserve">основными целями энергетического обследования являются: </w:t>
      </w:r>
    </w:p>
    <w:p>
      <w:pPr>
        <w:pStyle w:val="Normal"/>
        <w:ind w:firstLine="709"/>
        <w:jc w:val="both"/>
        <w:rPr>
          <w:color w:val="000000"/>
        </w:rPr>
      </w:pPr>
      <w:r>
        <w:rPr>
          <w:rFonts w:cs="Times New Roman" w:ascii="Times New Roman" w:hAnsi="Times New Roman"/>
          <w:bCs/>
          <w:color w:val="000000"/>
          <w:sz w:val="26"/>
          <w:szCs w:val="26"/>
        </w:rPr>
        <w:t>1) получение объективных данных об объеме используемых энергетических ресурсов;</w:t>
      </w:r>
    </w:p>
    <w:p>
      <w:pPr>
        <w:pStyle w:val="Normal"/>
        <w:ind w:firstLine="709"/>
        <w:jc w:val="both"/>
        <w:rPr>
          <w:color w:val="000000"/>
        </w:rPr>
      </w:pPr>
      <w:r>
        <w:rPr>
          <w:rFonts w:cs="Times New Roman" w:ascii="Times New Roman" w:hAnsi="Times New Roman"/>
          <w:bCs/>
          <w:color w:val="000000"/>
          <w:sz w:val="26"/>
          <w:szCs w:val="26"/>
        </w:rPr>
        <w:t>2) определение показателей энергетической эффективности;</w:t>
      </w:r>
    </w:p>
    <w:p>
      <w:pPr>
        <w:pStyle w:val="Normal"/>
        <w:ind w:firstLine="709"/>
        <w:jc w:val="both"/>
        <w:rPr>
          <w:color w:val="000000"/>
        </w:rPr>
      </w:pPr>
      <w:r>
        <w:rPr>
          <w:rFonts w:cs="Times New Roman" w:ascii="Times New Roman" w:hAnsi="Times New Roman"/>
          <w:bCs/>
          <w:color w:val="000000"/>
          <w:sz w:val="26"/>
          <w:szCs w:val="26"/>
        </w:rPr>
        <w:t>3) определение потенциала энергосбережения и повышения энергетической эффективности;</w:t>
      </w:r>
    </w:p>
    <w:p>
      <w:pPr>
        <w:pStyle w:val="Normal"/>
        <w:ind w:firstLine="709"/>
        <w:jc w:val="both"/>
        <w:rPr>
          <w:color w:val="000000"/>
        </w:rPr>
      </w:pPr>
      <w:r>
        <w:rPr>
          <w:rFonts w:cs="Times New Roman" w:ascii="Times New Roman" w:hAnsi="Times New Roman"/>
          <w:bCs/>
          <w:color w:val="000000"/>
          <w:sz w:val="26"/>
          <w:szCs w:val="26"/>
        </w:rPr>
        <w:t>4) разработка перечня мероприятий по энергосбережению и повышению энергетической эффективности и проведение их стоимостной оценки.</w:t>
      </w:r>
    </w:p>
    <w:p>
      <w:pPr>
        <w:pStyle w:val="Normal"/>
        <w:ind w:firstLine="709"/>
        <w:jc w:val="both"/>
        <w:rPr>
          <w:color w:val="000000"/>
        </w:rPr>
      </w:pPr>
      <w:r>
        <w:rPr>
          <w:rFonts w:cs="Times New Roman" w:ascii="Times New Roman" w:hAnsi="Times New Roman"/>
          <w:bCs/>
          <w:color w:val="000000"/>
          <w:sz w:val="26"/>
          <w:szCs w:val="26"/>
        </w:rPr>
        <w:t xml:space="preserve">Результатом энергетического обследования является энергетический паспорт и отчет о проведении энергетического обследования (ч. 5.3. Федерального закона № 261-ФЗ). </w:t>
      </w:r>
    </w:p>
    <w:p>
      <w:pPr>
        <w:pStyle w:val="Normal"/>
        <w:ind w:firstLine="709"/>
        <w:jc w:val="both"/>
        <w:rPr>
          <w:color w:val="000000"/>
        </w:rPr>
      </w:pPr>
      <w:r>
        <w:rPr>
          <w:rFonts w:cs="Times New Roman" w:ascii="Times New Roman" w:hAnsi="Times New Roman"/>
          <w:bCs/>
          <w:color w:val="000000"/>
          <w:sz w:val="26"/>
          <w:szCs w:val="26"/>
        </w:rPr>
        <w:t xml:space="preserve">Требования к проведению энергетического обследования утверждены отдельным правовым актом специального характера - Приказом Минэкономразвития России от 25.05.2020 N 310 «Об утверждении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 </w:t>
      </w:r>
    </w:p>
    <w:p>
      <w:pPr>
        <w:pStyle w:val="Normal"/>
        <w:ind w:firstLine="709"/>
        <w:jc w:val="both"/>
        <w:rPr>
          <w:color w:val="000000"/>
        </w:rPr>
      </w:pPr>
      <w:r>
        <w:rPr>
          <w:rFonts w:cs="Times New Roman" w:ascii="Times New Roman" w:hAnsi="Times New Roman"/>
          <w:bCs/>
          <w:color w:val="000000"/>
          <w:sz w:val="26"/>
          <w:szCs w:val="26"/>
        </w:rPr>
        <w:t xml:space="preserve">Извещением о закупке и приложенными документами обязанности Исполнителя предоставить по результатам энергетического обследования энергетический паспорт и отчет о проведении обследования не установлены. </w:t>
      </w:r>
    </w:p>
    <w:p>
      <w:pPr>
        <w:pStyle w:val="Normal"/>
        <w:ind w:firstLine="709"/>
        <w:jc w:val="both"/>
        <w:rPr>
          <w:color w:val="000000"/>
        </w:rPr>
      </w:pPr>
      <w:r>
        <w:rPr>
          <w:rFonts w:cs="Times New Roman" w:ascii="Times New Roman" w:hAnsi="Times New Roman"/>
          <w:bCs/>
          <w:color w:val="000000"/>
          <w:sz w:val="26"/>
          <w:szCs w:val="26"/>
        </w:rPr>
        <w:t>Пунктом 1 Требований к условиям энергосервисного договора (контракта), утв. постановлением Правительства от 18.08.2010 № 636 предусмотрено условие</w:t>
      </w:r>
      <w:r>
        <w:rPr>
          <w:rFonts w:cs="Times New Roman" w:ascii="Times New Roman" w:hAnsi="Times New Roman"/>
          <w:b/>
          <w:bCs/>
          <w:color w:val="000000"/>
          <w:sz w:val="26"/>
          <w:szCs w:val="26"/>
        </w:rPr>
        <w:t xml:space="preserve"> </w:t>
      </w:r>
      <w:r>
        <w:rPr>
          <w:rFonts w:cs="Times New Roman" w:ascii="Times New Roman" w:hAnsi="Times New Roman"/>
          <w:bCs/>
          <w:color w:val="000000"/>
          <w:sz w:val="26"/>
          <w:szCs w:val="26"/>
        </w:rPr>
        <w:t xml:space="preserve">обязательного наличия в таком контракте перечня мероприятий, направленных на энергосбережение и повышение энергетической эффективности, которые обязан выполнить исполнитель, с подробным техническим описанием каждого мероприятия и сроками их выполнения, сформированного заказчиком. </w:t>
      </w:r>
    </w:p>
    <w:p>
      <w:pPr>
        <w:pStyle w:val="Normal"/>
        <w:ind w:firstLine="709"/>
        <w:jc w:val="both"/>
        <w:rPr>
          <w:color w:val="000000"/>
        </w:rPr>
      </w:pPr>
      <w:r>
        <w:rPr>
          <w:rFonts w:cs="Times New Roman" w:ascii="Times New Roman" w:hAnsi="Times New Roman"/>
          <w:bCs/>
          <w:color w:val="000000"/>
          <w:sz w:val="26"/>
          <w:szCs w:val="26"/>
        </w:rPr>
        <w:t xml:space="preserve">Перечень мероприятий может быть сформирован </w:t>
      </w:r>
      <w:r>
        <w:rPr>
          <w:rFonts w:cs="Times New Roman" w:ascii="Times New Roman" w:hAnsi="Times New Roman"/>
          <w:bCs/>
          <w:color w:val="000000"/>
          <w:sz w:val="26"/>
          <w:szCs w:val="26"/>
          <w:u w:val="single"/>
        </w:rPr>
        <w:t>на основании энергетического паспорта</w:t>
      </w:r>
      <w:r>
        <w:rPr>
          <w:rFonts w:cs="Times New Roman" w:ascii="Times New Roman" w:hAnsi="Times New Roman"/>
          <w:bCs/>
          <w:color w:val="000000"/>
          <w:sz w:val="26"/>
          <w:szCs w:val="26"/>
        </w:rPr>
        <w:t xml:space="preserve">, составленного по результатам энергетического обследования и включаемого заказчиком в извещение о закупке. В случае, если формирование перечня мероприятий заказчиком невозможно - в контракт включается перечень мероприятий, сформированный в заявке участника закупки, с которым заключается контракт. Постановление Правительства № 636 не допускает возможность формирование перечня энергоэффективных мероприятий при исполнении энергосервисного контракта. На дату заключения контракта перечень энергоэффективных мероприятий уже должен быть сформирован либо заказчиком, либо участником закупки при подготовки заявки. </w:t>
      </w:r>
    </w:p>
    <w:p>
      <w:pPr>
        <w:pStyle w:val="Normal"/>
        <w:ind w:firstLine="709"/>
        <w:jc w:val="both"/>
        <w:rPr>
          <w:color w:val="000000"/>
        </w:rPr>
      </w:pPr>
      <w:r>
        <w:rPr>
          <w:rFonts w:cs="Times New Roman" w:ascii="Times New Roman" w:hAnsi="Times New Roman"/>
          <w:bCs/>
          <w:color w:val="000000"/>
          <w:sz w:val="26"/>
          <w:szCs w:val="26"/>
        </w:rPr>
        <w:t xml:space="preserve">Из вышеуказанного следует, что перечень энергосберегающих мероприятий, которые подлежат проведению в рамках исполнения энергосервисного контракта, никак не может включать проведение энергетического обследования, так как сам перечень составляется по результатам энергетического обследования. Проведение энергетического обследования предшествует объявлению закупки на заключение энергосервисного контракта и не может быть включено в предмет энергосервисного контракта. </w:t>
      </w:r>
    </w:p>
    <w:p>
      <w:pPr>
        <w:pStyle w:val="Normal"/>
        <w:ind w:firstLine="709"/>
        <w:jc w:val="both"/>
        <w:rPr>
          <w:color w:val="000000"/>
        </w:rPr>
      </w:pPr>
      <w:r>
        <w:rPr>
          <w:rFonts w:cs="Times New Roman" w:ascii="Times New Roman" w:hAnsi="Times New Roman"/>
          <w:bCs/>
          <w:color w:val="000000"/>
          <w:sz w:val="26"/>
          <w:szCs w:val="26"/>
        </w:rPr>
        <w:t xml:space="preserve">Таким образом, результаты энергетического обследования используются при подготовке закупки на заключение энергосервисного контракта, в том числе, на основании данных результатов определяется перечень объектов энергосервиса, базовый и плановый объем потребления энергетического ресурса, размер потенциальной экономии, НМЦК и прочие условия энергосервисной закупки. </w:t>
      </w:r>
    </w:p>
    <w:p>
      <w:pPr>
        <w:pStyle w:val="Normal"/>
        <w:ind w:firstLine="709"/>
        <w:jc w:val="both"/>
        <w:rPr>
          <w:color w:val="000000"/>
        </w:rPr>
      </w:pPr>
      <w:r>
        <w:rPr>
          <w:rFonts w:cs="Times New Roman" w:ascii="Times New Roman" w:hAnsi="Times New Roman"/>
          <w:color w:val="000000"/>
          <w:sz w:val="26"/>
          <w:szCs w:val="26"/>
        </w:rPr>
        <w:t xml:space="preserve">Заказчик пояснил, что указанное в документации энергетическое обследование не является энергетическим обследованием в понимании </w:t>
      </w:r>
      <w:r>
        <w:rPr>
          <w:rFonts w:cs="Times New Roman" w:ascii="Times New Roman" w:hAnsi="Times New Roman"/>
          <w:bCs/>
          <w:color w:val="000000"/>
          <w:sz w:val="26"/>
          <w:szCs w:val="26"/>
        </w:rPr>
        <w:t>Федерального закона № 261-ФЗ.</w:t>
      </w:r>
      <w:r>
        <w:rPr>
          <w:rFonts w:cs="Times New Roman" w:ascii="Times New Roman" w:hAnsi="Times New Roman"/>
          <w:color w:val="000000"/>
          <w:sz w:val="26"/>
          <w:szCs w:val="26"/>
        </w:rPr>
        <w:t xml:space="preserve"> Однако из Приложения № 3 к проекту контракта «Перечень энергосберегающих мероприятий на объекте энергосервиса и сроки достижения экономии» данное обстоятельство не следует.</w:t>
      </w:r>
      <w:r>
        <w:rPr>
          <w:rFonts w:cs="Times New Roman" w:ascii="Times New Roman" w:hAnsi="Times New Roman"/>
          <w:bCs/>
          <w:color w:val="000000"/>
          <w:sz w:val="26"/>
          <w:szCs w:val="26"/>
          <w:lang w:bidi="en-US"/>
        </w:rPr>
        <w:t xml:space="preserve"> </w:t>
      </w:r>
    </w:p>
    <w:p>
      <w:pPr>
        <w:pStyle w:val="Normal"/>
        <w:ind w:firstLine="709"/>
        <w:jc w:val="both"/>
        <w:rPr>
          <w:color w:val="000000"/>
        </w:rPr>
      </w:pPr>
      <w:r>
        <w:rPr>
          <w:rFonts w:cs="Times New Roman" w:ascii="Times New Roman" w:hAnsi="Times New Roman"/>
          <w:color w:val="000000"/>
          <w:sz w:val="26"/>
          <w:szCs w:val="26"/>
        </w:rPr>
        <w:t>В связи с чем, довод Заявителя о включении в состав одного лота технологически и функционально не связанные работы/мероприятия Комиссия находит обоснованным.</w:t>
      </w:r>
    </w:p>
    <w:p>
      <w:pPr>
        <w:pStyle w:val="Normal"/>
        <w:ind w:firstLine="709"/>
        <w:jc w:val="both"/>
        <w:rPr>
          <w:color w:val="000000"/>
        </w:rPr>
      </w:pPr>
      <w:r>
        <w:rPr>
          <w:rFonts w:cs="Times New Roman" w:ascii="Times New Roman" w:hAnsi="Times New Roman"/>
          <w:color w:val="000000"/>
          <w:sz w:val="26"/>
          <w:szCs w:val="26"/>
        </w:rPr>
        <w:t xml:space="preserve">Комиссией установлено, что Заказчиком неправомерно объединены в один лот товары, включенные в перечень, предусмотренный Постановлением Правительства № 616, и не включенные в него. </w:t>
      </w:r>
    </w:p>
    <w:p>
      <w:pPr>
        <w:pStyle w:val="Normal"/>
        <w:ind w:firstLine="709"/>
        <w:jc w:val="both"/>
        <w:rPr>
          <w:color w:val="000000"/>
        </w:rPr>
      </w:pPr>
      <w:r>
        <w:rPr>
          <w:rFonts w:cs="Times New Roman" w:ascii="Times New Roman" w:hAnsi="Times New Roman"/>
          <w:color w:val="000000"/>
          <w:sz w:val="26"/>
          <w:szCs w:val="26"/>
        </w:rPr>
        <w:t>В Описании объекта закупки в рамках выполнения энергоэффективных мероприятий предусмотрена поставка и монтаж следующего оборудования (товара):</w:t>
      </w:r>
    </w:p>
    <w:p>
      <w:pPr>
        <w:pStyle w:val="Normal"/>
        <w:ind w:firstLine="709"/>
        <w:jc w:val="both"/>
        <w:rPr>
          <w:color w:val="000000"/>
        </w:rPr>
      </w:pPr>
      <w:r>
        <w:rPr>
          <w:rFonts w:cs="Times New Roman" w:ascii="Times New Roman" w:hAnsi="Times New Roman"/>
          <w:color w:val="000000"/>
          <w:sz w:val="26"/>
          <w:szCs w:val="26"/>
        </w:rPr>
        <w:t>- светильники светодиодные (тип 1 – тип 5) в количестве 7980 шт.;</w:t>
      </w:r>
    </w:p>
    <w:p>
      <w:pPr>
        <w:pStyle w:val="Normal"/>
        <w:ind w:firstLine="709"/>
        <w:jc w:val="both"/>
        <w:rPr>
          <w:color w:val="000000"/>
        </w:rPr>
      </w:pPr>
      <w:r>
        <w:rPr>
          <w:rFonts w:cs="Times New Roman" w:ascii="Times New Roman" w:hAnsi="Times New Roman"/>
          <w:color w:val="000000"/>
          <w:sz w:val="26"/>
          <w:szCs w:val="26"/>
        </w:rPr>
        <w:t>- шкафы управления в количестве 96;</w:t>
      </w:r>
    </w:p>
    <w:p>
      <w:pPr>
        <w:pStyle w:val="Normal"/>
        <w:ind w:firstLine="709"/>
        <w:jc w:val="both"/>
        <w:rPr>
          <w:color w:val="000000"/>
        </w:rPr>
      </w:pPr>
      <w:r>
        <w:rPr>
          <w:rFonts w:cs="Times New Roman" w:ascii="Times New Roman" w:hAnsi="Times New Roman"/>
          <w:color w:val="000000"/>
          <w:sz w:val="26"/>
          <w:szCs w:val="26"/>
        </w:rPr>
        <w:t>- монтаж провода СИП-2х16 в количестве 16500 м для ликвидации безучетного потребления 280 светильников линий наружного освещения в поселках ВИМ-2 и ХИМИК.</w:t>
      </w:r>
    </w:p>
    <w:p>
      <w:pPr>
        <w:pStyle w:val="Normal"/>
        <w:ind w:firstLine="709"/>
        <w:jc w:val="both"/>
        <w:rPr>
          <w:color w:val="000000"/>
        </w:rPr>
      </w:pPr>
      <w:r>
        <w:rPr>
          <w:rFonts w:cs="Times New Roman" w:ascii="Times New Roman" w:hAnsi="Times New Roman"/>
          <w:color w:val="000000"/>
          <w:sz w:val="26"/>
          <w:szCs w:val="26"/>
        </w:rPr>
        <w:t>В соответствии с таблицей Приложения № 2 к Описанию объекта закупки</w:t>
      </w:r>
      <w:r>
        <w:rPr>
          <w:rFonts w:cs="Times New Roman" w:ascii="Times New Roman" w:hAnsi="Times New Roman"/>
          <w:b/>
          <w:color w:val="000000"/>
          <w:sz w:val="26"/>
          <w:szCs w:val="26"/>
        </w:rPr>
        <w:t xml:space="preserve"> </w:t>
      </w:r>
      <w:r>
        <w:rPr>
          <w:rFonts w:cs="Times New Roman" w:ascii="Times New Roman" w:hAnsi="Times New Roman"/>
          <w:color w:val="000000"/>
          <w:sz w:val="26"/>
          <w:szCs w:val="26"/>
        </w:rPr>
        <w:t xml:space="preserve">ОКПД2 светильников светодиодных - 27.40.39.113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 Данный ОКПД2 включен в перечень промышленных товаров, происходящих из иностранных государств, в отношении которых установлен запрет на допуск для целей государственных и муниципальных закупок, в соответствии с Постановлением Правительства РФ № 616.  В связи с указанным Заказчиком в извещении установлен запрет на допуск промышленных товаров, происходящих из иностранных государств по Постановлению № 616. </w:t>
      </w:r>
    </w:p>
    <w:p>
      <w:pPr>
        <w:pStyle w:val="Normal"/>
        <w:ind w:firstLine="709"/>
        <w:jc w:val="both"/>
        <w:rPr>
          <w:color w:val="000000"/>
        </w:rPr>
      </w:pPr>
      <w:r>
        <w:rPr>
          <w:rFonts w:cs="Times New Roman" w:ascii="Times New Roman" w:hAnsi="Times New Roman"/>
          <w:color w:val="000000"/>
          <w:sz w:val="26"/>
          <w:szCs w:val="26"/>
        </w:rPr>
        <w:t xml:space="preserve">В соответствии с п. 12 Постановления № 616 установлено,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w:t>
      </w:r>
      <w:r>
        <w:rPr>
          <w:rFonts w:cs="Times New Roman" w:ascii="Times New Roman" w:hAnsi="Times New Roman"/>
          <w:bCs/>
          <w:color w:val="000000"/>
          <w:sz w:val="26"/>
          <w:szCs w:val="26"/>
        </w:rPr>
        <w:t xml:space="preserve">Пунктом 4 Постановления 616 установлено, что запреты, установленные пунктами 1 и 2 настоящего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лизинга. </w:t>
      </w:r>
    </w:p>
    <w:p>
      <w:pPr>
        <w:pStyle w:val="Normal"/>
        <w:ind w:firstLine="709"/>
        <w:jc w:val="both"/>
        <w:rPr>
          <w:color w:val="000000"/>
        </w:rPr>
      </w:pPr>
      <w:r>
        <w:rPr>
          <w:rFonts w:cs="Times New Roman" w:ascii="Times New Roman" w:hAnsi="Times New Roman"/>
          <w:bCs/>
          <w:color w:val="000000"/>
          <w:sz w:val="26"/>
          <w:szCs w:val="26"/>
        </w:rPr>
        <w:t>В</w:t>
      </w:r>
      <w:r>
        <w:rPr>
          <w:rFonts w:cs="Times New Roman" w:ascii="Times New Roman" w:hAnsi="Times New Roman"/>
          <w:color w:val="000000"/>
          <w:sz w:val="26"/>
          <w:szCs w:val="26"/>
        </w:rPr>
        <w:t xml:space="preserve"> соответствии с Описанием объекта закупки в рамках энергосервисного контракта Исполнитель обязан поставить и смонтировать, помимо светильников светодиодных, также к поставке и монтажу требуются: </w:t>
      </w:r>
    </w:p>
    <w:p>
      <w:pPr>
        <w:pStyle w:val="Normal"/>
        <w:ind w:firstLine="709"/>
        <w:jc w:val="both"/>
        <w:rPr>
          <w:color w:val="000000"/>
        </w:rPr>
      </w:pPr>
      <w:r>
        <w:rPr>
          <w:rFonts w:cs="Times New Roman" w:ascii="Times New Roman" w:hAnsi="Times New Roman"/>
          <w:b/>
          <w:color w:val="000000"/>
          <w:sz w:val="26"/>
          <w:szCs w:val="26"/>
        </w:rPr>
        <w:t xml:space="preserve">- шкафы управления наружным освещением (ШУНО). </w:t>
      </w:r>
      <w:r>
        <w:rPr>
          <w:rFonts w:cs="Times New Roman" w:ascii="Times New Roman" w:hAnsi="Times New Roman"/>
          <w:color w:val="000000"/>
          <w:sz w:val="26"/>
          <w:szCs w:val="26"/>
        </w:rPr>
        <w:t xml:space="preserve">Данному оборудованию соответствует </w:t>
      </w:r>
      <w:r>
        <w:rPr>
          <w:rFonts w:cs="Times New Roman" w:ascii="Times New Roman" w:hAnsi="Times New Roman"/>
          <w:b/>
          <w:color w:val="000000"/>
          <w:sz w:val="26"/>
          <w:szCs w:val="26"/>
        </w:rPr>
        <w:t xml:space="preserve">ОКПД2 </w:t>
      </w:r>
      <w:r>
        <w:rPr>
          <w:rFonts w:cs="Times New Roman" w:ascii="Times New Roman" w:hAnsi="Times New Roman"/>
          <w:b/>
          <w:bCs/>
          <w:iCs/>
          <w:color w:val="000000"/>
          <w:sz w:val="26"/>
          <w:szCs w:val="26"/>
        </w:rPr>
        <w:t>27.12.31</w:t>
      </w:r>
      <w:r>
        <w:rPr>
          <w:rFonts w:cs="Times New Roman" w:ascii="Times New Roman" w:hAnsi="Times New Roman"/>
          <w:bCs/>
          <w:iCs/>
          <w:color w:val="000000"/>
          <w:sz w:val="26"/>
          <w:szCs w:val="26"/>
        </w:rPr>
        <w:t xml:space="preserve"> «Панели и прочие комплекты электрической аппаратуры коммутации или защиты на напряжение не более 1 кВ». </w:t>
      </w:r>
    </w:p>
    <w:p>
      <w:pPr>
        <w:pStyle w:val="Normal"/>
        <w:ind w:firstLine="709"/>
        <w:jc w:val="both"/>
        <w:rPr>
          <w:color w:val="000000"/>
        </w:rPr>
      </w:pPr>
      <w:r>
        <w:rPr>
          <w:rFonts w:cs="Times New Roman" w:ascii="Times New Roman" w:hAnsi="Times New Roman"/>
          <w:b/>
          <w:bCs/>
          <w:iCs/>
          <w:color w:val="000000"/>
          <w:sz w:val="26"/>
          <w:szCs w:val="26"/>
        </w:rPr>
        <w:t>- провод СИП-2х16 в количестве 16500 м</w:t>
      </w:r>
      <w:r>
        <w:rPr>
          <w:rFonts w:cs="Times New Roman" w:ascii="Times New Roman" w:hAnsi="Times New Roman"/>
          <w:bCs/>
          <w:iCs/>
          <w:color w:val="000000"/>
          <w:sz w:val="26"/>
          <w:szCs w:val="26"/>
        </w:rPr>
        <w:t xml:space="preserve">.  Данный товар включен в группировку Общероссийского классификатора продукции по видам экономической деятельности </w:t>
      </w:r>
      <w:r>
        <w:rPr>
          <w:rFonts w:cs="Times New Roman" w:ascii="Times New Roman" w:hAnsi="Times New Roman"/>
          <w:b/>
          <w:bCs/>
          <w:iCs/>
          <w:color w:val="000000"/>
          <w:sz w:val="26"/>
          <w:szCs w:val="26"/>
        </w:rPr>
        <w:t>ОКПД2 27.32</w:t>
      </w:r>
      <w:r>
        <w:rPr>
          <w:rFonts w:cs="Times New Roman" w:ascii="Times New Roman" w:hAnsi="Times New Roman"/>
          <w:bCs/>
          <w:iCs/>
          <w:color w:val="000000"/>
          <w:sz w:val="26"/>
          <w:szCs w:val="26"/>
        </w:rPr>
        <w:t xml:space="preserve"> «Провода и кабели электронные и электрические прочие». </w:t>
      </w:r>
    </w:p>
    <w:p>
      <w:pPr>
        <w:pStyle w:val="Normal"/>
        <w:ind w:firstLine="709"/>
        <w:jc w:val="both"/>
        <w:rPr>
          <w:color w:val="000000"/>
        </w:rPr>
      </w:pPr>
      <w:r>
        <w:rPr>
          <w:rFonts w:cs="Times New Roman" w:ascii="Times New Roman" w:hAnsi="Times New Roman"/>
          <w:bCs/>
          <w:iCs/>
          <w:color w:val="000000"/>
          <w:sz w:val="26"/>
          <w:szCs w:val="26"/>
        </w:rPr>
        <w:t xml:space="preserve">Продукция с ОКПД2 27.12.31, а также входящая в группировку ОКПД2 27.32, не содержится в перечне промышленных товаров, включенных в перечень, утвержденный Постановлением № 616. </w:t>
      </w:r>
    </w:p>
    <w:p>
      <w:pPr>
        <w:pStyle w:val="Normal"/>
        <w:ind w:firstLine="709"/>
        <w:jc w:val="both"/>
        <w:rPr>
          <w:color w:val="000000"/>
        </w:rPr>
      </w:pPr>
      <w:r>
        <w:rPr>
          <w:rFonts w:cs="Times New Roman" w:ascii="Times New Roman" w:hAnsi="Times New Roman"/>
          <w:color w:val="000000"/>
          <w:sz w:val="26"/>
          <w:szCs w:val="26"/>
        </w:rPr>
        <w:t xml:space="preserve">В соответствии с письмом ФАС России от 25.06.2020 № ИА/53616/0 «По вопросу установления требований к составу заявки (поставляемый, используемый товар)» определены признаки поставляемого товара, к которым относятся в совокупности: </w:t>
      </w:r>
    </w:p>
    <w:p>
      <w:pPr>
        <w:pStyle w:val="Normal"/>
        <w:ind w:firstLine="709"/>
        <w:jc w:val="both"/>
        <w:rPr>
          <w:color w:val="000000"/>
        </w:rPr>
      </w:pPr>
      <w:r>
        <w:rPr>
          <w:rFonts w:cs="Times New Roman" w:ascii="Times New Roman" w:hAnsi="Times New Roman"/>
          <w:color w:val="000000"/>
          <w:sz w:val="26"/>
          <w:szCs w:val="26"/>
        </w:rPr>
        <w:t xml:space="preserve">- товар передается заказчику по товарной накладной или акту передачи;  </w:t>
      </w:r>
    </w:p>
    <w:p>
      <w:pPr>
        <w:pStyle w:val="Normal"/>
        <w:ind w:firstLine="709"/>
        <w:jc w:val="both"/>
        <w:rPr>
          <w:color w:val="000000"/>
        </w:rPr>
      </w:pPr>
      <w:r>
        <w:rPr>
          <w:rFonts w:cs="Times New Roman" w:ascii="Times New Roman" w:hAnsi="Times New Roman"/>
          <w:color w:val="000000"/>
          <w:sz w:val="26"/>
          <w:szCs w:val="26"/>
        </w:rPr>
        <w:t xml:space="preserve">- товар принимается к бухгалтерскому учету заказчика в соответствии с </w:t>
      </w:r>
    </w:p>
    <w:p>
      <w:pPr>
        <w:pStyle w:val="Normal"/>
        <w:ind w:firstLine="709"/>
        <w:jc w:val="both"/>
        <w:rPr>
          <w:color w:val="000000"/>
        </w:rPr>
      </w:pPr>
      <w:r>
        <w:rPr>
          <w:rFonts w:cs="Times New Roman" w:ascii="Times New Roman" w:hAnsi="Times New Roman"/>
          <w:color w:val="000000"/>
          <w:sz w:val="26"/>
          <w:szCs w:val="26"/>
        </w:rPr>
        <w:t xml:space="preserve">Федеральным законом от 06.12.2011 № 402-ФЗ «О бухгалтерском учете»; </w:t>
      </w:r>
    </w:p>
    <w:p>
      <w:pPr>
        <w:pStyle w:val="Normal"/>
        <w:ind w:firstLine="709"/>
        <w:jc w:val="both"/>
        <w:rPr>
          <w:color w:val="000000"/>
        </w:rPr>
      </w:pPr>
      <w:r>
        <w:rPr>
          <w:rFonts w:cs="Times New Roman" w:ascii="Times New Roman" w:hAnsi="Times New Roman"/>
          <w:bCs/>
          <w:color w:val="000000"/>
          <w:sz w:val="26"/>
          <w:szCs w:val="26"/>
        </w:rPr>
        <w:t xml:space="preserve">- товар не является строительным или расходным материалом, моющим средством и т.п., используемым при выполнении работ, оказании услуг, без которых невозможно выполнить (оказать) такую работу (услугу). </w:t>
      </w:r>
    </w:p>
    <w:p>
      <w:pPr>
        <w:pStyle w:val="Normal"/>
        <w:ind w:firstLine="709"/>
        <w:jc w:val="both"/>
        <w:rPr>
          <w:color w:val="000000"/>
        </w:rPr>
      </w:pPr>
      <w:r>
        <w:rPr>
          <w:rFonts w:cs="Times New Roman" w:ascii="Times New Roman" w:hAnsi="Times New Roman"/>
          <w:color w:val="000000"/>
          <w:sz w:val="26"/>
          <w:szCs w:val="26"/>
        </w:rPr>
        <w:t xml:space="preserve">Проектом контракта предусмотрены условия о переходе к Заказчику права собственности на оборудование и улучшения, созданные или установленные на Объекте энергосервиса, после окончания срока действия Контракта без всякой дополнительной платы и подписания Акта приема-передачи оборудования в собственность.  Оборудование в составе системы наружного освещения, включая светильники, ШУНО, линии освещения, относится к объектам основных средств, соответственно, принимается к бухгалтерскому учету. </w:t>
      </w:r>
      <w:r>
        <w:rPr>
          <w:rFonts w:cs="Times New Roman" w:ascii="Times New Roman" w:hAnsi="Times New Roman"/>
          <w:bCs/>
          <w:color w:val="000000"/>
          <w:sz w:val="26"/>
          <w:szCs w:val="26"/>
        </w:rPr>
        <w:t xml:space="preserve">ШУНО обеспечивает управление наружным освещением и не является строительным или расходным материалом, классифицируется как оборудование, имеет технический паспорт и серийный номер. Согласно конкурсной документации количество данного оборудования составляет 96 штук, со сроком службы не менее 12 лет. Исходя из признаков и функционального назначения ШУНО является поставляемым товаром в рамках оказания услуг по проведению энергоэффективных мероприятий. </w:t>
      </w:r>
    </w:p>
    <w:p>
      <w:pPr>
        <w:pStyle w:val="Normal"/>
        <w:ind w:firstLine="709"/>
        <w:jc w:val="both"/>
        <w:rPr>
          <w:color w:val="000000"/>
        </w:rPr>
      </w:pPr>
      <w:r>
        <w:rPr>
          <w:rFonts w:cs="Times New Roman" w:ascii="Times New Roman" w:hAnsi="Times New Roman"/>
          <w:bCs/>
          <w:color w:val="000000"/>
          <w:sz w:val="26"/>
          <w:szCs w:val="26"/>
        </w:rPr>
        <w:t xml:space="preserve">В связи с вышеизложенным, на ШУНО и СИП распространяются запреты, предусмотренные п. 12 Постановления № 616 на запрет объединения в один лот товаров, предусмотренных перечнем по Постановлению Правительства № 616, и не включенных в данный перечень. </w:t>
      </w:r>
    </w:p>
    <w:p>
      <w:pPr>
        <w:pStyle w:val="Normal"/>
        <w:ind w:firstLine="709"/>
        <w:jc w:val="both"/>
        <w:rPr>
          <w:color w:val="000000"/>
        </w:rPr>
      </w:pPr>
      <w:r>
        <w:rPr>
          <w:rFonts w:cs="Times New Roman" w:ascii="Times New Roman" w:hAnsi="Times New Roman"/>
          <w:bCs/>
          <w:color w:val="000000"/>
          <w:sz w:val="26"/>
          <w:szCs w:val="26"/>
        </w:rPr>
        <w:t>Довод Заявителя о нарушении Заказчиком нормативных требований к порядку определения объема потребления энергетического ресурса в базовом и отчетном периодах, к формированию объекта энергосервиса, Комиссия также находит обоснованным в силу следующих обстоятельств.</w:t>
      </w:r>
    </w:p>
    <w:p>
      <w:pPr>
        <w:pStyle w:val="Normal"/>
        <w:ind w:firstLine="709"/>
        <w:jc w:val="both"/>
        <w:rPr>
          <w:color w:val="000000"/>
        </w:rPr>
      </w:pPr>
      <w:r>
        <w:rPr>
          <w:rFonts w:cs="Times New Roman" w:ascii="Times New Roman" w:hAnsi="Times New Roman"/>
          <w:color w:val="000000"/>
          <w:sz w:val="26"/>
          <w:szCs w:val="26"/>
        </w:rPr>
        <w:t>В соответствии с Описанием объекта закупки в рамках исполнения контракта т</w:t>
      </w:r>
      <w:r>
        <w:rPr>
          <w:rFonts w:cs="Times New Roman" w:ascii="Times New Roman" w:hAnsi="Times New Roman"/>
          <w:bCs/>
          <w:color w:val="000000"/>
          <w:sz w:val="26"/>
          <w:szCs w:val="26"/>
        </w:rPr>
        <w:t xml:space="preserve">ребуется монтаж провода СИП-2х16 в количестве 16500 м </w:t>
      </w:r>
      <w:r>
        <w:rPr>
          <w:rFonts w:cs="Times New Roman" w:ascii="Times New Roman" w:hAnsi="Times New Roman"/>
          <w:b/>
          <w:bCs/>
          <w:color w:val="000000"/>
          <w:sz w:val="26"/>
          <w:szCs w:val="26"/>
        </w:rPr>
        <w:t>для ликвидации безучетного потребления 280 светильников</w:t>
      </w:r>
      <w:r>
        <w:rPr>
          <w:rFonts w:cs="Times New Roman" w:ascii="Times New Roman" w:hAnsi="Times New Roman"/>
          <w:bCs/>
          <w:color w:val="000000"/>
          <w:sz w:val="26"/>
          <w:szCs w:val="26"/>
        </w:rPr>
        <w:t xml:space="preserve"> линий наружного освещения в поселках ВИМ-2 и ХИМИК. Конкретные адреса для установки определяются по согласованию с Заказчиком во время проведения энергетического обследования.</w:t>
      </w:r>
    </w:p>
    <w:p>
      <w:pPr>
        <w:pStyle w:val="Normal"/>
        <w:ind w:firstLine="709"/>
        <w:jc w:val="both"/>
        <w:rPr>
          <w:color w:val="000000"/>
        </w:rPr>
      </w:pPr>
      <w:r>
        <w:rPr>
          <w:rFonts w:cs="Times New Roman" w:ascii="Times New Roman" w:hAnsi="Times New Roman"/>
          <w:color w:val="000000"/>
          <w:sz w:val="26"/>
          <w:szCs w:val="26"/>
        </w:rPr>
        <w:t>Из таблицы «</w:t>
      </w:r>
      <w:r>
        <w:rPr>
          <w:rFonts w:cs="Times New Roman" w:ascii="Times New Roman" w:hAnsi="Times New Roman"/>
          <w:bCs/>
          <w:color w:val="000000"/>
          <w:sz w:val="26"/>
          <w:szCs w:val="26"/>
        </w:rPr>
        <w:t xml:space="preserve">Информация о наличии приборов учета используемого энергетического ресурса муниципального образования город Армавир Краснодарского края» Приложения № 1 к Описанию объекта закупки следует, что приборы учета отсутствуют на следующих ТП: </w:t>
      </w:r>
    </w:p>
    <w:p>
      <w:pPr>
        <w:pStyle w:val="Normal"/>
        <w:ind w:firstLine="709"/>
        <w:jc w:val="both"/>
        <w:rPr>
          <w:color w:val="000000"/>
        </w:rPr>
      </w:pPr>
      <w:r>
        <w:rPr>
          <w:rFonts w:cs="Times New Roman" w:ascii="Times New Roman" w:hAnsi="Times New Roman"/>
          <w:color w:val="000000"/>
          <w:sz w:val="26"/>
          <w:szCs w:val="26"/>
        </w:rPr>
        <w:t>- УНО ТП-б/н пос. ВИМ-2;</w:t>
      </w:r>
    </w:p>
    <w:p>
      <w:pPr>
        <w:pStyle w:val="Normal"/>
        <w:ind w:firstLine="709"/>
        <w:jc w:val="both"/>
        <w:rPr>
          <w:color w:val="000000"/>
        </w:rPr>
      </w:pPr>
      <w:r>
        <w:rPr>
          <w:rFonts w:cs="Times New Roman" w:ascii="Times New Roman" w:hAnsi="Times New Roman"/>
          <w:color w:val="000000"/>
          <w:sz w:val="26"/>
          <w:szCs w:val="26"/>
        </w:rPr>
        <w:t xml:space="preserve">- УНО ТП-277 пос. Химик. </w:t>
      </w:r>
    </w:p>
    <w:p>
      <w:pPr>
        <w:pStyle w:val="Normal"/>
        <w:ind w:firstLine="709"/>
        <w:jc w:val="both"/>
        <w:rPr>
          <w:color w:val="000000"/>
        </w:rPr>
      </w:pPr>
      <w:r>
        <w:rPr>
          <w:rFonts w:eastAsia="Calibri" w:cs="Times New Roman" w:ascii="Times New Roman" w:hAnsi="Times New Roman"/>
          <w:color w:val="000000"/>
          <w:sz w:val="26"/>
          <w:szCs w:val="26"/>
        </w:rPr>
        <w:t>Между тем, в соответствии с п. 2.3. проекта контракта объем потребления энергетических ресурсов Заказчиком в базовом периоде определен при помощи прибора учета</w:t>
      </w:r>
      <w:r>
        <w:rPr>
          <w:rFonts w:eastAsia="Calibri" w:cs="Times New Roman" w:ascii="Times New Roman" w:hAnsi="Times New Roman"/>
          <w:b/>
          <w:color w:val="000000"/>
          <w:sz w:val="26"/>
          <w:szCs w:val="26"/>
        </w:rPr>
        <w:t xml:space="preserve"> </w:t>
      </w:r>
      <w:r>
        <w:rPr>
          <w:rFonts w:eastAsia="Calibri" w:cs="Times New Roman" w:ascii="Times New Roman" w:hAnsi="Times New Roman"/>
          <w:color w:val="000000"/>
          <w:sz w:val="26"/>
          <w:szCs w:val="26"/>
        </w:rPr>
        <w:t>используемого энергетического ресурса за период с января по декабрь 2023 года.</w:t>
      </w:r>
    </w:p>
    <w:p>
      <w:pPr>
        <w:pStyle w:val="Normal"/>
        <w:ind w:firstLine="709"/>
        <w:jc w:val="both"/>
        <w:rPr>
          <w:color w:val="000000"/>
        </w:rPr>
      </w:pPr>
      <w:r>
        <w:rPr>
          <w:rFonts w:cs="Times New Roman" w:ascii="Times New Roman" w:hAnsi="Times New Roman"/>
          <w:color w:val="000000"/>
          <w:sz w:val="26"/>
          <w:szCs w:val="26"/>
        </w:rPr>
        <w:t xml:space="preserve">В связи с отсутствием приборов на ТП УНО ТП-б/н пос. ВИМ-2 и УНО ТП-277 пос. ХИМИК объем потребления электрической энергии 280 светильниками в указанных поселках не мог быть учтен при определении базового потребления. </w:t>
      </w:r>
    </w:p>
    <w:p>
      <w:pPr>
        <w:pStyle w:val="Normal"/>
        <w:ind w:firstLine="709"/>
        <w:jc w:val="both"/>
        <w:rPr>
          <w:color w:val="000000"/>
        </w:rPr>
      </w:pPr>
      <w:r>
        <w:rPr>
          <w:rFonts w:cs="Times New Roman" w:ascii="Times New Roman" w:hAnsi="Times New Roman"/>
          <w:color w:val="000000"/>
          <w:sz w:val="26"/>
          <w:szCs w:val="26"/>
        </w:rPr>
        <w:t xml:space="preserve">Как разъяснил Заказчик в ответе на запрос, размещенный на площадке, «объем потребления энергетического ресурса за период с января по декабрь 2023 года определен в соответствии с расшифровками от энергосбытовой организации. Потребление 280 светильников также входит в общий объем потребления энергетического ресурса за базовый период». </w:t>
      </w:r>
    </w:p>
    <w:p>
      <w:pPr>
        <w:pStyle w:val="Normal"/>
        <w:ind w:firstLine="709"/>
        <w:jc w:val="both"/>
        <w:rPr>
          <w:color w:val="000000"/>
        </w:rPr>
      </w:pPr>
      <w:r>
        <w:rPr>
          <w:rFonts w:cs="Times New Roman" w:ascii="Times New Roman" w:hAnsi="Times New Roman"/>
          <w:color w:val="000000"/>
          <w:sz w:val="26"/>
          <w:szCs w:val="26"/>
        </w:rPr>
        <w:t xml:space="preserve">Из указанного ответа заказчика неясно, каким способом определен объем потребления в базовом периоде: </w:t>
      </w:r>
    </w:p>
    <w:p>
      <w:pPr>
        <w:pStyle w:val="Normal"/>
        <w:ind w:firstLine="709"/>
        <w:jc w:val="both"/>
        <w:rPr>
          <w:color w:val="000000"/>
        </w:rPr>
      </w:pPr>
      <w:r>
        <w:rPr>
          <w:rFonts w:cs="Times New Roman" w:ascii="Times New Roman" w:hAnsi="Times New Roman"/>
          <w:color w:val="000000"/>
          <w:sz w:val="26"/>
          <w:szCs w:val="26"/>
        </w:rPr>
        <w:t xml:space="preserve">- по приборам учета (как заявлено в п. 2.3. проекта контракта);  </w:t>
      </w:r>
    </w:p>
    <w:p>
      <w:pPr>
        <w:pStyle w:val="Normal"/>
        <w:ind w:firstLine="709"/>
        <w:jc w:val="both"/>
        <w:rPr>
          <w:color w:val="000000"/>
        </w:rPr>
      </w:pPr>
      <w:r>
        <w:rPr>
          <w:rFonts w:cs="Times New Roman" w:ascii="Times New Roman" w:hAnsi="Times New Roman"/>
          <w:color w:val="000000"/>
          <w:sz w:val="26"/>
          <w:szCs w:val="26"/>
        </w:rPr>
        <w:t xml:space="preserve">- расчетным способом. </w:t>
      </w:r>
    </w:p>
    <w:p>
      <w:pPr>
        <w:pStyle w:val="Normal"/>
        <w:ind w:firstLine="709"/>
        <w:jc w:val="both"/>
        <w:rPr>
          <w:color w:val="000000"/>
        </w:rPr>
      </w:pPr>
      <w:r>
        <w:rPr>
          <w:rFonts w:cs="Times New Roman" w:ascii="Times New Roman" w:hAnsi="Times New Roman"/>
          <w:color w:val="000000"/>
          <w:sz w:val="26"/>
          <w:szCs w:val="26"/>
        </w:rPr>
        <w:t xml:space="preserve">В случае, если объем потребления в базовом периоде сформирован по приборам учета, то в данный объем не включено потребление 280 светильников, потребление в базовом периоде не соответствует действительности. </w:t>
      </w:r>
    </w:p>
    <w:p>
      <w:pPr>
        <w:pStyle w:val="Normal"/>
        <w:ind w:firstLine="709"/>
        <w:jc w:val="both"/>
        <w:rPr>
          <w:color w:val="000000"/>
        </w:rPr>
      </w:pPr>
      <w:r>
        <w:rPr>
          <w:rFonts w:cs="Times New Roman" w:ascii="Times New Roman" w:hAnsi="Times New Roman"/>
          <w:color w:val="000000"/>
          <w:sz w:val="26"/>
          <w:szCs w:val="26"/>
        </w:rPr>
        <w:t xml:space="preserve">В случае, если заказчик дополнительно руководствовался «расшифровками энергосбытовой организации» (как разъяснено заказчиков в ответе на запрос), это означает комбинацию способов: по приборам учета и расчетно-измерительный способ, что не допускается в силу п. 6 Постановления Правительства № 636. </w:t>
      </w:r>
    </w:p>
    <w:p>
      <w:pPr>
        <w:pStyle w:val="Normal"/>
        <w:ind w:firstLine="709"/>
        <w:jc w:val="both"/>
        <w:rPr>
          <w:color w:val="000000"/>
        </w:rPr>
      </w:pPr>
      <w:r>
        <w:rPr>
          <w:rFonts w:cs="Times New Roman" w:ascii="Times New Roman" w:hAnsi="Times New Roman"/>
          <w:color w:val="000000"/>
          <w:sz w:val="26"/>
          <w:szCs w:val="26"/>
        </w:rPr>
        <w:t>В соответствии с указанным пунктом определение объема потребления энергетического ресурса до реализации исполнителем перечня мероприятий, осуществляется одним из следующих способов:</w:t>
      </w:r>
    </w:p>
    <w:p>
      <w:pPr>
        <w:pStyle w:val="Normal"/>
        <w:ind w:firstLine="709"/>
        <w:jc w:val="both"/>
        <w:rPr>
          <w:color w:val="000000"/>
        </w:rPr>
      </w:pPr>
      <w:r>
        <w:rPr>
          <w:rFonts w:cs="Times New Roman" w:ascii="Times New Roman" w:hAnsi="Times New Roman"/>
          <w:color w:val="000000"/>
          <w:sz w:val="26"/>
          <w:szCs w:val="26"/>
        </w:rPr>
        <w:t>- на основании планируемого объема потребления энергетического ресурса, сформированного заказчиком по фактическим данным об объеме потребления энергетического ресурса, определенным при помощи прибора учета используемого энергетического ресурса на объекте, в отношении которого осуществляются мероприятия, направленные на энергосбережение и повышение энергетической эффективности, в предшествующий период до реализации исполнителем перечня мероприятий;</w:t>
      </w:r>
    </w:p>
    <w:p>
      <w:pPr>
        <w:pStyle w:val="Normal"/>
        <w:ind w:firstLine="709"/>
        <w:jc w:val="both"/>
        <w:rPr>
          <w:color w:val="000000"/>
        </w:rPr>
      </w:pPr>
      <w:r>
        <w:rPr>
          <w:rFonts w:cs="Times New Roman" w:ascii="Times New Roman" w:hAnsi="Times New Roman"/>
          <w:color w:val="000000"/>
          <w:sz w:val="26"/>
          <w:szCs w:val="26"/>
        </w:rPr>
        <w:t>- при установке исполнителем прибора учета используемого энергетического ресурса и фиксации сторонами данных об объеме (доле объема) потребления энергетического ресурса заказчиком, полученных при помощи этого прибора за период, который составляет не менее одного календарного месяца до начала реализации перечня мероприятий, - на основании планируемого объема потребления энергетического ресурса, сформированного заказчиком по фактическим данным об объеме потребления энергетического ресурса на объекте, определенным при помощи такого прибора учета используемого энергетического ресурса;</w:t>
      </w:r>
    </w:p>
    <w:p>
      <w:pPr>
        <w:pStyle w:val="Normal"/>
        <w:ind w:firstLine="709"/>
        <w:jc w:val="both"/>
        <w:rPr/>
      </w:pPr>
      <w:r>
        <w:rPr>
          <w:rFonts w:cs="Times New Roman" w:ascii="Times New Roman" w:hAnsi="Times New Roman"/>
          <w:color w:val="000000"/>
          <w:sz w:val="26"/>
          <w:szCs w:val="26"/>
        </w:rPr>
        <w:t xml:space="preserve">- расчетно-измерительным способом в соответствии с утвержденной Министерством экономического развития Российской Федерации </w:t>
      </w:r>
      <w:hyperlink r:id="rId2">
        <w:r>
          <w:rPr>
            <w:rFonts w:cs="Times New Roman" w:ascii="Times New Roman" w:hAnsi="Times New Roman"/>
            <w:color w:val="000000"/>
            <w:sz w:val="26"/>
            <w:szCs w:val="26"/>
          </w:rPr>
          <w:t>методикой</w:t>
        </w:r>
      </w:hyperlink>
      <w:r>
        <w:rPr>
          <w:rFonts w:cs="Times New Roman" w:ascii="Times New Roman" w:hAnsi="Times New Roman"/>
          <w:color w:val="000000"/>
          <w:sz w:val="26"/>
          <w:szCs w:val="26"/>
        </w:rPr>
        <w:t xml:space="preserve"> определения расчетно-измерительным способом объема потребления энергетического ресурса в натуральном выражении.</w:t>
      </w:r>
    </w:p>
    <w:p>
      <w:pPr>
        <w:pStyle w:val="Normal"/>
        <w:ind w:firstLine="709"/>
        <w:jc w:val="both"/>
        <w:rPr>
          <w:color w:val="000000"/>
        </w:rPr>
      </w:pPr>
      <w:r>
        <w:rPr>
          <w:rFonts w:cs="Times New Roman" w:ascii="Times New Roman" w:hAnsi="Times New Roman"/>
          <w:color w:val="000000"/>
          <w:sz w:val="26"/>
          <w:szCs w:val="26"/>
        </w:rPr>
        <w:t xml:space="preserve">Кроме того, в случае, если при исполнении контракта 280 светильников в поселках ВИМ-2 и ХИМИК будут присоединены к системе освещения города Армавир, то общий объем потребления электрической энергии системой освещения увеличится на объем электрической энергии, потребляемой данными 280 светильниками. </w:t>
      </w:r>
    </w:p>
    <w:p>
      <w:pPr>
        <w:pStyle w:val="Normal"/>
        <w:ind w:firstLine="709"/>
        <w:jc w:val="both"/>
        <w:rPr>
          <w:color w:val="000000"/>
        </w:rPr>
      </w:pPr>
      <w:r>
        <w:rPr>
          <w:rFonts w:cs="Times New Roman" w:ascii="Times New Roman" w:hAnsi="Times New Roman"/>
          <w:color w:val="000000"/>
          <w:sz w:val="26"/>
          <w:szCs w:val="26"/>
        </w:rPr>
        <w:t>В соответствии с п. 5.3. проекта контракта объем потребления Заказчиком энергетического ресурса в натуральном выражении после реализации Перечня ЭСМ определяется в следующем порядке:</w:t>
      </w:r>
    </w:p>
    <w:p>
      <w:pPr>
        <w:pStyle w:val="Normal"/>
        <w:ind w:firstLine="709"/>
        <w:jc w:val="both"/>
        <w:rPr>
          <w:color w:val="000000"/>
        </w:rPr>
      </w:pPr>
      <w:r>
        <w:rPr>
          <w:rFonts w:cs="Times New Roman" w:ascii="Times New Roman" w:hAnsi="Times New Roman"/>
          <w:color w:val="000000"/>
          <w:sz w:val="26"/>
          <w:szCs w:val="26"/>
        </w:rPr>
        <w:t xml:space="preserve">а) при наличии данных об объеме потребления энергетического ресурса, определенных при помощи прибора учета используемого энергетического ресурса: </w:t>
      </w:r>
    </w:p>
    <w:p>
      <w:pPr>
        <w:pStyle w:val="Normal"/>
        <w:ind w:firstLine="709"/>
        <w:jc w:val="both"/>
        <w:rPr>
          <w:color w:val="000000"/>
        </w:rPr>
      </w:pPr>
      <w:r>
        <w:rPr>
          <w:rFonts w:cs="Times New Roman" w:ascii="Times New Roman" w:hAnsi="Times New Roman"/>
          <w:color w:val="000000"/>
          <w:sz w:val="26"/>
          <w:szCs w:val="26"/>
        </w:rPr>
        <w:t>- на основании объемов, зафиксированных прибором учета используемого энергетического ресурса в течение периода, равного календарному периоду достижения предусмотренного настоящим Контрактом размера экономии (доли размера экономии) и с учётом потребления светильников, не подлежащих замене;</w:t>
      </w:r>
    </w:p>
    <w:p>
      <w:pPr>
        <w:pStyle w:val="Normal"/>
        <w:ind w:firstLine="709"/>
        <w:jc w:val="both"/>
        <w:rPr>
          <w:color w:val="000000"/>
        </w:rPr>
      </w:pPr>
      <w:r>
        <w:rPr>
          <w:rFonts w:cs="Times New Roman" w:ascii="Times New Roman" w:hAnsi="Times New Roman"/>
          <w:color w:val="000000"/>
          <w:sz w:val="26"/>
          <w:szCs w:val="26"/>
        </w:rPr>
        <w:t>б) при отсутствии данных об объеме потребления энергетического ресурса, определенных при помощи прибора учета используемого энергетического ресурса:</w:t>
      </w:r>
    </w:p>
    <w:p>
      <w:pPr>
        <w:pStyle w:val="Normal"/>
        <w:ind w:firstLine="709"/>
        <w:jc w:val="both"/>
        <w:rPr>
          <w:color w:val="000000"/>
        </w:rPr>
      </w:pPr>
      <w:r>
        <w:rPr>
          <w:rFonts w:cs="Times New Roman" w:ascii="Times New Roman" w:hAnsi="Times New Roman"/>
          <w:color w:val="000000"/>
          <w:sz w:val="26"/>
          <w:szCs w:val="26"/>
        </w:rPr>
        <w:t xml:space="preserve">- расчетно-измерительным способом в соответствии с «Методикой». </w:t>
      </w:r>
    </w:p>
    <w:p>
      <w:pPr>
        <w:pStyle w:val="Normal"/>
        <w:ind w:firstLine="709"/>
        <w:jc w:val="both"/>
        <w:rPr>
          <w:color w:val="000000"/>
        </w:rPr>
      </w:pPr>
      <w:r>
        <w:rPr>
          <w:rFonts w:cs="Times New Roman" w:ascii="Times New Roman" w:hAnsi="Times New Roman"/>
          <w:color w:val="000000"/>
          <w:sz w:val="26"/>
          <w:szCs w:val="26"/>
        </w:rPr>
        <w:t xml:space="preserve">В результате ликвидации безучетного потребления в поселках ВИМ-2 и ХИМИК объем потребления после реализации мероприятий будет определяться также по приборам учета. </w:t>
      </w:r>
    </w:p>
    <w:p>
      <w:pPr>
        <w:pStyle w:val="Normal"/>
        <w:ind w:firstLine="709"/>
        <w:jc w:val="both"/>
        <w:rPr>
          <w:color w:val="000000"/>
        </w:rPr>
      </w:pPr>
      <w:r>
        <w:rPr>
          <w:rFonts w:cs="Times New Roman" w:ascii="Times New Roman" w:hAnsi="Times New Roman"/>
          <w:color w:val="000000"/>
          <w:sz w:val="26"/>
          <w:szCs w:val="26"/>
        </w:rPr>
        <w:t xml:space="preserve">Таким образом, Исполнитель не может спрогнозировать объем увеличения потребления электрической энергии в результате присоединения указанных 280 светильников. Объем потребления в натуральном выражении может увеличится в объеме, что полностью нивелирует достигнутую экономию и обусловит невозможность достижения результата исполнения контракта. Указанное не позволяет участнику закупки сформировать конкурсную заявку, определить предложение по величине планируемой экономии и проценту экономии, которые могут быть реально достигнуты.  </w:t>
      </w:r>
    </w:p>
    <w:p>
      <w:pPr>
        <w:pStyle w:val="Normal"/>
        <w:ind w:firstLine="709"/>
        <w:jc w:val="both"/>
        <w:rPr>
          <w:color w:val="000000"/>
        </w:rPr>
      </w:pPr>
      <w:r>
        <w:rPr>
          <w:rFonts w:cs="Times New Roman" w:ascii="Times New Roman" w:hAnsi="Times New Roman"/>
          <w:color w:val="000000"/>
          <w:sz w:val="26"/>
          <w:szCs w:val="26"/>
        </w:rPr>
        <w:t>В нарушение п.7) ч.1 ст.42 Закона о контрактной системе Заказчиком не определено существенное условие контракта - место оказания услуг по контракту, отсутствует адресный перечень выполнения энергоэффективных мероприятий.</w:t>
      </w:r>
    </w:p>
    <w:p>
      <w:pPr>
        <w:pStyle w:val="Normal"/>
        <w:ind w:firstLine="709"/>
        <w:jc w:val="both"/>
        <w:rPr>
          <w:color w:val="000000"/>
        </w:rPr>
      </w:pPr>
      <w:r>
        <w:rPr>
          <w:rFonts w:cs="Times New Roman" w:ascii="Times New Roman" w:hAnsi="Times New Roman"/>
          <w:color w:val="000000"/>
          <w:sz w:val="26"/>
          <w:szCs w:val="26"/>
        </w:rPr>
        <w:t>В соответствии с извещением о закупке место оказания услуг по контракту определено как: Российская Федерация, Краснодарский край, территория МО город Армавир.</w:t>
      </w:r>
    </w:p>
    <w:p>
      <w:pPr>
        <w:pStyle w:val="Normal"/>
        <w:ind w:firstLine="709"/>
        <w:jc w:val="both"/>
        <w:rPr>
          <w:color w:val="000000"/>
        </w:rPr>
      </w:pPr>
      <w:r>
        <w:rPr>
          <w:rFonts w:cs="Times New Roman" w:ascii="Times New Roman" w:hAnsi="Times New Roman"/>
          <w:color w:val="000000"/>
          <w:sz w:val="26"/>
          <w:szCs w:val="26"/>
        </w:rPr>
        <w:t xml:space="preserve">В соответствии с Описанием объекта закупки место оказания услуг определено как «Система уличного (наружного) освещения на территории </w:t>
      </w:r>
      <w:r>
        <w:rPr>
          <w:rFonts w:cs="Times New Roman" w:ascii="Times New Roman" w:hAnsi="Times New Roman"/>
          <w:iCs/>
          <w:color w:val="000000"/>
          <w:sz w:val="26"/>
          <w:szCs w:val="26"/>
        </w:rPr>
        <w:t xml:space="preserve">муниципального образования город Армавир Краснодарского края </w:t>
      </w:r>
      <w:r>
        <w:rPr>
          <w:rFonts w:cs="Times New Roman" w:ascii="Times New Roman" w:hAnsi="Times New Roman"/>
          <w:color w:val="000000"/>
          <w:sz w:val="26"/>
          <w:szCs w:val="26"/>
        </w:rPr>
        <w:t>в соответствии с Приложением №1 к Техническому заданию (Объект энергосервиса)».</w:t>
      </w:r>
      <w:r>
        <w:rPr>
          <w:rFonts w:cs="Times New Roman" w:ascii="Times New Roman" w:hAnsi="Times New Roman"/>
          <w:b/>
          <w:bCs/>
          <w:color w:val="000000"/>
          <w:sz w:val="26"/>
          <w:szCs w:val="26"/>
        </w:rPr>
        <w:t xml:space="preserve"> </w:t>
      </w:r>
      <w:r>
        <w:rPr>
          <w:rFonts w:cs="Times New Roman" w:ascii="Times New Roman" w:hAnsi="Times New Roman"/>
          <w:color w:val="000000"/>
          <w:sz w:val="26"/>
          <w:szCs w:val="26"/>
        </w:rPr>
        <w:t xml:space="preserve">В приложении № 1 к Техническому заданию, а также в иных документах закупки отсутствует адресная программа размещения существующих светильников, а также адреса размещения новых светильников. </w:t>
      </w:r>
    </w:p>
    <w:p>
      <w:pPr>
        <w:pStyle w:val="Normal"/>
        <w:ind w:firstLine="709"/>
        <w:jc w:val="both"/>
        <w:rPr>
          <w:color w:val="000000"/>
        </w:rPr>
      </w:pPr>
      <w:r>
        <w:rPr>
          <w:rFonts w:cs="Times New Roman" w:ascii="Times New Roman" w:hAnsi="Times New Roman"/>
          <w:color w:val="000000"/>
          <w:sz w:val="26"/>
          <w:szCs w:val="26"/>
        </w:rPr>
        <w:t xml:space="preserve">В соответствии с Описанием объекта закупки на Исполнителя возлагаются, среди прочих, обязанности: </w:t>
      </w:r>
    </w:p>
    <w:p>
      <w:pPr>
        <w:pStyle w:val="Normal"/>
        <w:ind w:firstLine="709"/>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 обеспечить качество оказываемых услуг (выполняемых работ) в соответствии с действующими строительными нормами и правилами (СНиП), государственными стандартами Российской Федерации в области строительства и капитального ремонта (ГОСТ), правилами устройства электроустановок (ПУЭ) и иными действующими нормами, и техническими условиями;</w:t>
      </w:r>
    </w:p>
    <w:p>
      <w:pPr>
        <w:pStyle w:val="Normal"/>
        <w:ind w:firstLine="709"/>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 xml:space="preserve">- </w:t>
      </w:r>
      <w:r>
        <w:rPr>
          <w:rFonts w:cs="Times New Roman" w:ascii="Times New Roman" w:hAnsi="Times New Roman"/>
          <w:bCs/>
          <w:color w:val="000000"/>
          <w:sz w:val="26"/>
          <w:szCs w:val="26"/>
        </w:rPr>
        <w:t xml:space="preserve">после реализации энергосберегающих мероприятий объект энергосервиса должен обеспечивать, при условии соответствия объекта энергосервиса и входящих в него объектов/оборудования (опоры освещения, световые приборы, приборы учета и т. д.), их характеристик и расположения требованиям действующего законодательства РФ, </w:t>
      </w:r>
      <w:r>
        <w:rPr>
          <w:rFonts w:cs="Times New Roman" w:ascii="Times New Roman" w:hAnsi="Times New Roman"/>
          <w:color w:val="000000"/>
          <w:sz w:val="26"/>
          <w:szCs w:val="26"/>
        </w:rPr>
        <w:t xml:space="preserve">средний уровень освещенности исходя из норм согласно Классификации улично-дорожной сети городских поселений, определенной в СП 52.13330.2016. «Свод правил. Естественное и искусственное освещение. Актуализированная редакция СНиП 23-05-95*» (утв. приказом Министерства строительства и жилищно-коммунального хозяйства от 07.11.2016 № 777/пp). </w:t>
      </w:r>
    </w:p>
    <w:p>
      <w:pPr>
        <w:pStyle w:val="Normal"/>
        <w:ind w:firstLine="709"/>
        <w:jc w:val="both"/>
        <w:rPr>
          <w:color w:val="000000"/>
        </w:rPr>
      </w:pPr>
      <w:r>
        <w:rPr>
          <w:rFonts w:cs="Times New Roman" w:ascii="Times New Roman" w:hAnsi="Times New Roman"/>
          <w:color w:val="000000"/>
          <w:sz w:val="26"/>
          <w:szCs w:val="26"/>
        </w:rPr>
        <w:t xml:space="preserve">При этом, выбор типа светильника и, соответственно, его технических характеристик (мощности, светового потока, кривой силы света) должен быть произведен исходя из категории дорог, шага и высоты опор, количества полос  и иных обстоятельств. Поскольку в документах закупки отсутствует адресный перечень мест расположения светильников, а также сведения о категориях дорог, замена светильников без учета указанных факторов может привести к несоблюдению требований к освещению (недоосвещение или переосвещение), что будет являться нарушением действующих норм и правил, государственных стандартов.  </w:t>
      </w:r>
    </w:p>
    <w:p>
      <w:pPr>
        <w:pStyle w:val="Normal"/>
        <w:ind w:firstLine="709"/>
        <w:jc w:val="both"/>
        <w:rPr>
          <w:color w:val="000000"/>
        </w:rPr>
      </w:pPr>
      <w:r>
        <w:rPr>
          <w:rFonts w:cs="Times New Roman" w:ascii="Times New Roman" w:hAnsi="Times New Roman"/>
          <w:color w:val="000000"/>
          <w:sz w:val="26"/>
          <w:szCs w:val="26"/>
        </w:rPr>
        <w:t xml:space="preserve">Указанное не позволяет осуществить участнику закупки выбор марки и модели светильников с техническими характеристиками, которые обеспечили бы соблюдение требований СП 52.13330.2016. к яркости и освещенности дорог. Кроме того, для соблюдения указанных требований может потребоваться установка светильников в количестве, превышающем предусмотренное Описанием объекта закупки, что повлечет дополнительные затраты Исполнителя. </w:t>
      </w:r>
    </w:p>
    <w:p>
      <w:pPr>
        <w:pStyle w:val="Normal"/>
        <w:ind w:firstLine="709"/>
        <w:jc w:val="both"/>
        <w:rPr>
          <w:color w:val="000000"/>
        </w:rPr>
      </w:pPr>
      <w:r>
        <w:rPr>
          <w:rFonts w:cs="Times New Roman" w:ascii="Times New Roman" w:hAnsi="Times New Roman"/>
          <w:bCs/>
          <w:color w:val="000000"/>
          <w:sz w:val="26"/>
          <w:szCs w:val="26"/>
        </w:rPr>
        <w:t>Кроме того, по условиям Описания объекта закупки требуется установка 96 шт. шкафа управления. Конкретные адреса для установки определяются по согласованию с Заказчиком во время проведения энергетического обследования. Необходим монтаж провода СИП-2х16 в количестве 16500 м для ликвидации без учетного потребления 280 светильников линий наружного освещения в поселках ВИМ-2 и ХИМИК. Конкретные адреса для установки определяются по согласованию с Заказчиком во время проведения энергетического обследования</w:t>
      </w:r>
      <w:r>
        <w:rPr>
          <w:bCs/>
          <w:color w:val="000000"/>
          <w:sz w:val="26"/>
          <w:szCs w:val="26"/>
        </w:rPr>
        <w:t>.</w:t>
      </w:r>
    </w:p>
    <w:p>
      <w:pPr>
        <w:pStyle w:val="Normal"/>
        <w:ind w:firstLine="709"/>
        <w:jc w:val="both"/>
        <w:rPr>
          <w:color w:val="000000"/>
        </w:rPr>
      </w:pPr>
      <w:r>
        <w:rPr>
          <w:rFonts w:cs="Times New Roman" w:ascii="Times New Roman" w:hAnsi="Times New Roman"/>
          <w:color w:val="000000"/>
          <w:sz w:val="26"/>
          <w:szCs w:val="26"/>
        </w:rPr>
        <w:t>Пунктами 9.12. - 9.14. проекта контракта предусмотрены условия о штрафных санкциях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 1063».</w:t>
      </w:r>
    </w:p>
    <w:p>
      <w:pPr>
        <w:pStyle w:val="Normal"/>
        <w:ind w:firstLine="709"/>
        <w:jc w:val="both"/>
        <w:rPr>
          <w:color w:val="000000"/>
        </w:rPr>
      </w:pPr>
      <w:r>
        <w:rPr>
          <w:rFonts w:eastAsia="Calibri" w:cs="Times New Roman" w:ascii="Times New Roman" w:hAnsi="Times New Roman"/>
          <w:color w:val="000000"/>
          <w:sz w:val="26"/>
          <w:szCs w:val="26"/>
        </w:rPr>
        <w:t>Согласно п. 39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года, при расчете неустойки, подлежащей взысканию с заказчика по государственному (муниципальному) контракту, заключенному в целях удовлетворения государственных (муниципальных) нужд в энергоснабжении, необходимо руководствоваться положениями специальных законодательных актов о снабжении энергетическими ресурсами.</w:t>
      </w:r>
    </w:p>
    <w:p>
      <w:pPr>
        <w:pStyle w:val="Normal"/>
        <w:ind w:firstLine="709"/>
        <w:jc w:val="both"/>
        <w:rPr/>
      </w:pPr>
      <w:r>
        <w:rPr>
          <w:rFonts w:eastAsia="Calibri" w:cs="Times New Roman" w:ascii="Times New Roman" w:hAnsi="Times New Roman"/>
          <w:color w:val="000000"/>
          <w:sz w:val="26"/>
          <w:szCs w:val="26"/>
        </w:rPr>
        <w:t xml:space="preserve">Согласно ч. 19 ст. 108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Правительством РФ устанавливаются </w:t>
      </w:r>
      <w:hyperlink r:id="rId3">
        <w:r>
          <w:rPr>
            <w:rFonts w:eastAsia="Calibri" w:cs="Times New Roman" w:ascii="Times New Roman" w:hAnsi="Times New Roman"/>
            <w:color w:val="000000"/>
            <w:sz w:val="26"/>
            <w:szCs w:val="26"/>
          </w:rPr>
          <w:t>требования</w:t>
        </w:r>
      </w:hyperlink>
      <w:r>
        <w:rPr>
          <w:rFonts w:eastAsia="Calibri" w:cs="Times New Roman" w:ascii="Times New Roman" w:hAnsi="Times New Roman"/>
          <w:color w:val="000000"/>
          <w:sz w:val="26"/>
          <w:szCs w:val="26"/>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4">
        <w:r>
          <w:rPr>
            <w:rFonts w:eastAsia="Calibri" w:cs="Times New Roman" w:ascii="Times New Roman" w:hAnsi="Times New Roman"/>
            <w:color w:val="000000"/>
            <w:sz w:val="26"/>
            <w:szCs w:val="26"/>
          </w:rPr>
          <w:t>особенности</w:t>
        </w:r>
      </w:hyperlink>
      <w:r>
        <w:rPr>
          <w:rFonts w:eastAsia="Calibri" w:cs="Times New Roman" w:ascii="Times New Roman" w:hAnsi="Times New Roman"/>
          <w:color w:val="000000"/>
          <w:sz w:val="26"/>
          <w:szCs w:val="26"/>
        </w:rPr>
        <w:t xml:space="preserve"> определения начальной (максимальной) цены энергосервисного контракта (цены лота) (в том </w:t>
      </w:r>
      <w:r>
        <w:rPr>
          <w:rFonts w:cs="Times New Roman" w:ascii="Times New Roman" w:hAnsi="Times New Roman"/>
          <w:color w:val="000000"/>
          <w:sz w:val="26"/>
          <w:szCs w:val="26"/>
        </w:rPr>
        <w:t>числе период, за который учитываются расходы заказчика на поставки энергетических ресурсов).</w:t>
      </w:r>
    </w:p>
    <w:p>
      <w:pPr>
        <w:pStyle w:val="Normal"/>
        <w:ind w:firstLine="709"/>
        <w:jc w:val="both"/>
        <w:rPr/>
      </w:pPr>
      <w:r>
        <w:rPr>
          <w:rFonts w:cs="Times New Roman" w:ascii="Times New Roman" w:hAnsi="Times New Roman"/>
          <w:color w:val="000000"/>
          <w:sz w:val="26"/>
          <w:szCs w:val="26"/>
        </w:rPr>
        <w:t xml:space="preserve">Таким образом, Заказчиком установлены условия энергосервисного контракта в нарушение </w:t>
      </w:r>
      <w:hyperlink r:id="rId5">
        <w:r>
          <w:rPr>
            <w:rFonts w:cs="Times New Roman" w:ascii="Times New Roman" w:hAnsi="Times New Roman"/>
            <w:color w:val="000000"/>
            <w:sz w:val="26"/>
            <w:szCs w:val="26"/>
          </w:rPr>
          <w:t>Постановлени</w:t>
        </w:r>
      </w:hyperlink>
      <w:r>
        <w:rPr>
          <w:rFonts w:cs="Times New Roman" w:ascii="Times New Roman" w:hAnsi="Times New Roman"/>
          <w:color w:val="000000"/>
          <w:sz w:val="26"/>
          <w:szCs w:val="26"/>
        </w:rPr>
        <w:t xml:space="preserve">я Правительства РФ от 18.08.2010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 которое является </w:t>
      </w:r>
      <w:r>
        <w:rPr>
          <w:rFonts w:eastAsia="Calibri" w:cs="Times New Roman" w:ascii="Times New Roman" w:hAnsi="Times New Roman"/>
          <w:color w:val="000000"/>
          <w:sz w:val="26"/>
          <w:szCs w:val="26"/>
        </w:rPr>
        <w:t xml:space="preserve">специальным нормативным актом в сфере энергосбережения. </w:t>
      </w:r>
    </w:p>
    <w:p>
      <w:pPr>
        <w:pStyle w:val="Normal"/>
        <w:ind w:firstLine="708"/>
        <w:jc w:val="both"/>
        <w:rPr>
          <w:color w:val="000000"/>
        </w:rPr>
      </w:pPr>
      <w:r>
        <w:rPr>
          <w:rFonts w:cs="Times New Roman" w:ascii="Times New Roman" w:hAnsi="Times New Roman"/>
          <w:color w:val="000000"/>
          <w:sz w:val="26"/>
          <w:szCs w:val="26"/>
        </w:rPr>
        <w:t xml:space="preserve">Также в проекте контракта </w:t>
      </w:r>
      <w:r>
        <w:rPr>
          <w:rFonts w:eastAsia="Calibri" w:cs="Times New Roman" w:ascii="Times New Roman" w:hAnsi="Times New Roman"/>
          <w:color w:val="000000"/>
          <w:sz w:val="26"/>
          <w:szCs w:val="26"/>
        </w:rPr>
        <w:t xml:space="preserve">присутствуют условия, противоречащие положениям </w:t>
      </w:r>
      <w:r>
        <w:rPr>
          <w:rFonts w:cs="Times New Roman" w:ascii="Times New Roman" w:hAnsi="Times New Roman"/>
          <w:color w:val="000000"/>
          <w:sz w:val="26"/>
          <w:szCs w:val="26"/>
        </w:rPr>
        <w:t>законодательства:</w:t>
      </w:r>
    </w:p>
    <w:p>
      <w:pPr>
        <w:pStyle w:val="ListParagraph"/>
        <w:numPr>
          <w:ilvl w:val="0"/>
          <w:numId w:val="2"/>
        </w:numPr>
        <w:jc w:val="both"/>
        <w:rPr>
          <w:color w:val="000000"/>
        </w:rPr>
      </w:pPr>
      <w:r>
        <w:rPr>
          <w:rFonts w:eastAsia="Calibri" w:cs="Times New Roman" w:ascii="Times New Roman" w:hAnsi="Times New Roman"/>
          <w:color w:val="000000"/>
          <w:sz w:val="26"/>
          <w:szCs w:val="26"/>
        </w:rPr>
        <w:t>Согласно п. 6.1. проекта контракта «Цена настоящего Контракта определяется в виде процента экономии в денежном выражении соответствующих расходов Заказчика на поставки энергетического ресурса, который может быть уплачен Исполнителю по энергосервисному Контракту»..</w:t>
      </w:r>
    </w:p>
    <w:p>
      <w:pPr>
        <w:pStyle w:val="Normal"/>
        <w:ind w:firstLine="709"/>
        <w:jc w:val="both"/>
        <w:rPr>
          <w:color w:val="000000"/>
        </w:rPr>
      </w:pPr>
      <w:r>
        <w:rPr>
          <w:rFonts w:eastAsia="Calibri" w:cs="Times New Roman" w:ascii="Times New Roman" w:hAnsi="Times New Roman"/>
          <w:color w:val="000000"/>
          <w:sz w:val="26"/>
          <w:szCs w:val="26"/>
        </w:rPr>
        <w:t>…</w:t>
      </w:r>
      <w:r>
        <w:rPr>
          <w:rFonts w:eastAsia="Calibri" w:cs="Times New Roman" w:ascii="Times New Roman" w:hAnsi="Times New Roman"/>
          <w:b/>
          <w:color w:val="000000"/>
          <w:sz w:val="26"/>
          <w:szCs w:val="26"/>
          <w:u w:val="single"/>
        </w:rPr>
        <w:t>Цена контракта в стоимостном выражении составляет</w:t>
      </w:r>
      <w:r>
        <w:rPr>
          <w:rFonts w:eastAsia="Calibri" w:cs="Times New Roman" w:ascii="Times New Roman" w:hAnsi="Times New Roman"/>
          <w:color w:val="000000"/>
          <w:sz w:val="26"/>
          <w:szCs w:val="26"/>
        </w:rPr>
        <w:t xml:space="preserve"> _____________________ рублей ____________ копеек, в том числе НДС – 20%, _________________рублей _____________ копеек (далее – Цена Контракта)». </w:t>
      </w:r>
    </w:p>
    <w:p>
      <w:pPr>
        <w:pStyle w:val="Normal"/>
        <w:ind w:firstLine="709"/>
        <w:jc w:val="both"/>
        <w:rPr>
          <w:color w:val="000000"/>
        </w:rPr>
      </w:pPr>
      <w:r>
        <w:rPr>
          <w:rFonts w:eastAsia="Calibri" w:cs="Times New Roman" w:ascii="Times New Roman" w:hAnsi="Times New Roman"/>
          <w:color w:val="000000"/>
          <w:sz w:val="26"/>
          <w:szCs w:val="26"/>
        </w:rPr>
        <w:t xml:space="preserve">То есть, Заказчик определяет цену контракта в твердой денежной сумме. </w:t>
      </w:r>
    </w:p>
    <w:p>
      <w:pPr>
        <w:pStyle w:val="Normal"/>
        <w:ind w:firstLine="709"/>
        <w:jc w:val="both"/>
        <w:rPr>
          <w:color w:val="000000"/>
        </w:rPr>
      </w:pPr>
      <w:r>
        <w:rPr>
          <w:rFonts w:eastAsia="Calibri" w:cs="Times New Roman" w:ascii="Times New Roman" w:hAnsi="Times New Roman"/>
          <w:color w:val="000000"/>
          <w:sz w:val="26"/>
          <w:szCs w:val="26"/>
        </w:rPr>
        <w:t>В соответствии с ч. 13 ст. 108 Закона о контрактной системе энергосервисный контракт заключается по цене, которая определяется в виде:</w:t>
      </w:r>
    </w:p>
    <w:p>
      <w:pPr>
        <w:pStyle w:val="Normal"/>
        <w:ind w:firstLine="709"/>
        <w:jc w:val="both"/>
        <w:rPr>
          <w:color w:val="000000"/>
        </w:rPr>
      </w:pPr>
      <w:r>
        <w:rPr>
          <w:rFonts w:eastAsia="Calibri" w:cs="Times New Roman" w:ascii="Times New Roman" w:hAnsi="Times New Roman"/>
          <w:color w:val="000000"/>
          <w:sz w:val="26"/>
          <w:szCs w:val="26"/>
        </w:rPr>
        <w:t>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1 части 3 настоящей статьи;</w:t>
      </w:r>
    </w:p>
    <w:p>
      <w:pPr>
        <w:pStyle w:val="Normal"/>
        <w:ind w:firstLine="709"/>
        <w:jc w:val="both"/>
        <w:rPr>
          <w:color w:val="000000"/>
        </w:rPr>
      </w:pPr>
      <w:r>
        <w:rPr>
          <w:rFonts w:eastAsia="Calibri" w:cs="Times New Roman" w:ascii="Times New Roman" w:hAnsi="Times New Roman"/>
          <w:color w:val="000000"/>
          <w:sz w:val="26"/>
          <w:szCs w:val="26"/>
        </w:rPr>
        <w:t>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2 части 3 настоящей статьи;</w:t>
      </w:r>
    </w:p>
    <w:p>
      <w:pPr>
        <w:pStyle w:val="Normal"/>
        <w:ind w:firstLine="709"/>
        <w:jc w:val="both"/>
        <w:rPr>
          <w:color w:val="000000"/>
        </w:rPr>
      </w:pPr>
      <w:r>
        <w:rPr>
          <w:rFonts w:eastAsia="Calibri" w:cs="Times New Roman" w:ascii="Times New Roman" w:hAnsi="Times New Roman"/>
          <w:color w:val="000000"/>
          <w:sz w:val="26"/>
          <w:szCs w:val="26"/>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пункте 3 части 3 настоящей статьи. </w:t>
      </w:r>
    </w:p>
    <w:p>
      <w:pPr>
        <w:pStyle w:val="Normal"/>
        <w:ind w:firstLine="709"/>
        <w:jc w:val="both"/>
        <w:rPr>
          <w:color w:val="000000"/>
        </w:rPr>
      </w:pPr>
      <w:r>
        <w:rPr>
          <w:rFonts w:eastAsia="Calibri" w:cs="Times New Roman" w:ascii="Times New Roman" w:hAnsi="Times New Roman"/>
          <w:color w:val="000000"/>
          <w:sz w:val="26"/>
          <w:szCs w:val="26"/>
        </w:rPr>
        <w:t xml:space="preserve">Таким образом, условие п. 6.1. проекта контракта, установленное Заказчиком, не соответствует ч. 13 ст. 108 Закона о контрактной системе, которым установлен порядок определения цены энергосервисного контракта, так как цена определена в твердой денежной сумме на весь срок действия контракта, а не в виде процента экономии.  По энергосервисному контракту расчеты осуществляются по тарифам, фактически сложившимся за период достижения предусмотренного контрактом размера экономии, соответственно, </w:t>
      </w:r>
      <w:r>
        <w:rPr>
          <w:rFonts w:eastAsia="Calibri" w:cs="Times New Roman" w:ascii="Times New Roman" w:hAnsi="Times New Roman"/>
          <w:b/>
          <w:color w:val="000000"/>
          <w:sz w:val="26"/>
          <w:szCs w:val="26"/>
        </w:rPr>
        <w:t>указать точную цену контракта на момент его заключения не представляется возможным.</w:t>
      </w:r>
      <w:r>
        <w:rPr>
          <w:rFonts w:eastAsia="Calibri" w:cs="Times New Roman" w:ascii="Times New Roman" w:hAnsi="Times New Roman"/>
          <w:color w:val="000000"/>
          <w:sz w:val="26"/>
          <w:szCs w:val="26"/>
        </w:rPr>
        <w:t xml:space="preserve"> За период действия контракта итоговая цена контракта, корректно определенная в соответствии с частью 13 статьи 108 Закона о контрактной системе, фактически может оказаться более или менее конкретной денежной суммы, которую предлагается указать в данном пункте. Ключевым условием контракта является то, что обязательство Исполнителя по экономии энергетического ресурса считается исполненным, если размер экономии (доля размера экономии), достигнутый в результате исполнения контракта, в натуральном выражении больше или равен размеру экономии (доли размера экономии) энергетического ресурса, указанному в контракте (п. 2.8. проекта контракта). </w:t>
      </w:r>
      <w:r>
        <w:rPr>
          <w:rFonts w:eastAsia="Calibri" w:cs="Times New Roman" w:ascii="Times New Roman" w:hAnsi="Times New Roman"/>
          <w:color w:val="000000"/>
          <w:sz w:val="26"/>
          <w:szCs w:val="26"/>
          <w:u w:val="single"/>
        </w:rPr>
        <w:t>Указание цены контракта в виде конкретной денежной суммы может привести к невозможности полного расчета сторон за достигнутую экономию в период действия контракта.</w:t>
      </w:r>
    </w:p>
    <w:p>
      <w:pPr>
        <w:pStyle w:val="Normal"/>
        <w:ind w:firstLine="709"/>
        <w:jc w:val="both"/>
        <w:rPr>
          <w:color w:val="000000"/>
        </w:rPr>
      </w:pPr>
      <w:r>
        <w:rPr>
          <w:rFonts w:eastAsia="Calibri" w:cs="Times New Roman" w:ascii="Times New Roman" w:hAnsi="Times New Roman"/>
          <w:color w:val="000000"/>
          <w:sz w:val="26"/>
          <w:szCs w:val="26"/>
        </w:rPr>
        <w:t xml:space="preserve">В приложении к извещению о закупке (Обоснование НМЦК) определена стоимость единицы энергетического ресурса (13,53299 руб.) на момент публикации извещения, а оплата электрической энергии, определяется в стоимостном выражении по ценам (тарифам) на электрическую энергию, </w:t>
      </w:r>
      <w:r>
        <w:rPr>
          <w:rFonts w:eastAsia="Calibri" w:cs="Times New Roman" w:ascii="Times New Roman" w:hAnsi="Times New Roman"/>
          <w:color w:val="000000"/>
          <w:sz w:val="26"/>
          <w:szCs w:val="26"/>
          <w:u w:val="single"/>
        </w:rPr>
        <w:t>фактически сложившимся за период достижения предусмотренного контрактом размера экономии</w:t>
      </w:r>
      <w:r>
        <w:rPr>
          <w:rFonts w:eastAsia="Calibri" w:cs="Times New Roman" w:ascii="Times New Roman" w:hAnsi="Times New Roman"/>
          <w:color w:val="000000"/>
          <w:sz w:val="26"/>
          <w:szCs w:val="26"/>
        </w:rPr>
        <w:t xml:space="preserve"> (п. 6.7. проекта контракта). Если в период действия контракта произойдет рост цен (тарифов) на энергоресурс, то цена контракта, определенная конкретной денежной суммой, может быть полностью выплачена до окончания срока его действия, а обязательство Заказчика по оплате экономии, достигнутой в натуральном выражении, при этом не будет исполнено.</w:t>
      </w:r>
    </w:p>
    <w:p>
      <w:pPr>
        <w:pStyle w:val="Normal"/>
        <w:ind w:firstLine="709"/>
        <w:jc w:val="both"/>
        <w:rPr>
          <w:color w:val="000000"/>
        </w:rPr>
      </w:pPr>
      <w:r>
        <w:rPr>
          <w:rFonts w:eastAsia="Calibri" w:cs="Times New Roman" w:ascii="Times New Roman" w:hAnsi="Times New Roman"/>
          <w:color w:val="000000"/>
          <w:sz w:val="26"/>
          <w:szCs w:val="26"/>
        </w:rPr>
        <w:t>Таким образом, цена энергосервисного контракта не может быть определена конкретной денежной суммой сразу при его заключении, поскольку в этом случае она не будет учитывать следующие определяющие факторы:</w:t>
      </w:r>
    </w:p>
    <w:p>
      <w:pPr>
        <w:pStyle w:val="Normal"/>
        <w:ind w:firstLine="709"/>
        <w:jc w:val="both"/>
        <w:rPr>
          <w:color w:val="000000"/>
        </w:rPr>
      </w:pPr>
      <w:r>
        <w:rPr>
          <w:rFonts w:eastAsia="Calibri" w:cs="Times New Roman" w:ascii="Times New Roman" w:hAnsi="Times New Roman"/>
          <w:color w:val="000000"/>
          <w:sz w:val="26"/>
          <w:szCs w:val="26"/>
        </w:rPr>
        <w:t>- размер экономии энергоресурса в натуральном выражении, фактически обеспеченный Исполнителем в период достижения экономии;</w:t>
      </w:r>
    </w:p>
    <w:p>
      <w:pPr>
        <w:pStyle w:val="Normal"/>
        <w:ind w:firstLine="709"/>
        <w:jc w:val="both"/>
        <w:rPr>
          <w:color w:val="000000"/>
        </w:rPr>
      </w:pPr>
      <w:r>
        <w:rPr>
          <w:rFonts w:eastAsia="Calibri" w:cs="Times New Roman" w:ascii="Times New Roman" w:hAnsi="Times New Roman"/>
          <w:color w:val="000000"/>
          <w:sz w:val="26"/>
          <w:szCs w:val="26"/>
        </w:rPr>
        <w:t>- рост тарифов на энергоресурс в период достижения экономии.</w:t>
      </w:r>
    </w:p>
    <w:p>
      <w:pPr>
        <w:pStyle w:val="Normal"/>
        <w:ind w:firstLine="709"/>
        <w:jc w:val="both"/>
        <w:rPr/>
      </w:pPr>
      <w:r>
        <w:rPr>
          <w:rFonts w:eastAsia="Calibri" w:cs="Times New Roman" w:ascii="Times New Roman" w:hAnsi="Times New Roman"/>
          <w:color w:val="000000"/>
          <w:sz w:val="26"/>
          <w:szCs w:val="26"/>
        </w:rPr>
        <w:t xml:space="preserve">2. Как предусмотрено п. 10 Требований к условиям энергосервисного контракта, утвержденных </w:t>
      </w:r>
      <w:hyperlink r:id="rId6">
        <w:r>
          <w:rPr>
            <w:rFonts w:cs="Times New Roman" w:ascii="Times New Roman" w:hAnsi="Times New Roman"/>
            <w:color w:val="000000"/>
            <w:sz w:val="26"/>
            <w:szCs w:val="26"/>
          </w:rPr>
          <w:t>Постановлени</w:t>
        </w:r>
      </w:hyperlink>
      <w:r>
        <w:rPr>
          <w:rFonts w:cs="Times New Roman" w:ascii="Times New Roman" w:hAnsi="Times New Roman"/>
          <w:color w:val="000000"/>
          <w:sz w:val="26"/>
          <w:szCs w:val="26"/>
        </w:rPr>
        <w:t>ем Правительства РФ от 18.08.2010 № 636, энергосервисный контракта должен содержать о</w:t>
      </w:r>
      <w:r>
        <w:rPr>
          <w:rFonts w:cs="Times New Roman" w:ascii="Times New Roman" w:hAnsi="Times New Roman"/>
          <w:bCs/>
          <w:color w:val="000000"/>
          <w:sz w:val="26"/>
          <w:szCs w:val="26"/>
        </w:rPr>
        <w:t>пределение механизма распределения между сторонами контракта дополнительной экономии энергетического ресурса, обеспеченной сверх установленного контрактом размера экономии (доли размера экономии), которого должен достигнуть исполнитель.</w:t>
      </w:r>
    </w:p>
    <w:p>
      <w:pPr>
        <w:pStyle w:val="Normal"/>
        <w:ind w:firstLine="709"/>
        <w:jc w:val="both"/>
        <w:rPr>
          <w:color w:val="000000"/>
        </w:rPr>
      </w:pPr>
      <w:r>
        <w:rPr>
          <w:rFonts w:eastAsia="Calibri" w:cs="Times New Roman" w:ascii="Times New Roman" w:hAnsi="Times New Roman"/>
          <w:color w:val="000000"/>
          <w:sz w:val="26"/>
          <w:szCs w:val="26"/>
        </w:rPr>
        <w:t>В соответствии с п. 6.4. проекта контракта, если по результатам энергосберегающих мероприятий, выполненных Исполнителем, образуется дополнительная экономия электрической энергии, которая представляет собой произведение стоимости единицы электрической энергии на момент отчетного периода и положительной разницы между размером достигнутой в результате исполнения Контракта экономии в натуральном выражении и размером планируемой экономии в натуральном выражении, который должен обеспечиваться Исполнителем при условии учета факторов, влияющих на объем потребления энергетических ресурсов, то дополнительная экономия распределяется между Сторонами в таком же процентном отношении как и основная экономии между Заказчиком и Исполнителем и составляет:</w:t>
      </w:r>
    </w:p>
    <w:p>
      <w:pPr>
        <w:pStyle w:val="Normal"/>
        <w:ind w:firstLine="709"/>
        <w:jc w:val="both"/>
        <w:rPr>
          <w:color w:val="000000"/>
        </w:rPr>
      </w:pPr>
      <w:r>
        <w:rPr>
          <w:rFonts w:eastAsia="Calibri" w:cs="Times New Roman" w:ascii="Times New Roman" w:hAnsi="Times New Roman"/>
          <w:color w:val="000000"/>
          <w:sz w:val="26"/>
          <w:szCs w:val="26"/>
        </w:rPr>
        <w:t>-</w:t>
        <w:tab/>
        <w:t>__% (___) процентов дополнительной экономии остается в распоряжении Заказчика;</w:t>
      </w:r>
    </w:p>
    <w:p>
      <w:pPr>
        <w:pStyle w:val="Normal"/>
        <w:ind w:firstLine="709"/>
        <w:jc w:val="both"/>
        <w:rPr>
          <w:color w:val="000000"/>
        </w:rPr>
      </w:pPr>
      <w:r>
        <w:rPr>
          <w:rFonts w:eastAsia="Calibri" w:cs="Times New Roman" w:ascii="Times New Roman" w:hAnsi="Times New Roman"/>
          <w:color w:val="000000"/>
          <w:sz w:val="26"/>
          <w:szCs w:val="26"/>
        </w:rPr>
        <w:t>-</w:t>
        <w:tab/>
        <w:t>__% (______) процентов дополнительной экономии подлежит перечислению Исполнителю.</w:t>
      </w:r>
    </w:p>
    <w:p>
      <w:pPr>
        <w:pStyle w:val="Normal"/>
        <w:ind w:firstLine="709"/>
        <w:jc w:val="both"/>
        <w:rPr>
          <w:color w:val="000000"/>
        </w:rPr>
      </w:pPr>
      <w:r>
        <w:rPr>
          <w:rFonts w:cs="Times New Roman" w:ascii="Times New Roman" w:hAnsi="Times New Roman"/>
          <w:color w:val="000000"/>
          <w:sz w:val="26"/>
          <w:szCs w:val="26"/>
        </w:rPr>
        <w:t xml:space="preserve">Между тем, процент распределения дополнительной экономии в проекте контракта и иных документах извещения не установлен, в связи с чем неясен механизм ее распределения между сторонами в случае ее достижения в ходе исполнения контракта. </w:t>
      </w:r>
    </w:p>
    <w:p>
      <w:pPr>
        <w:pStyle w:val="Normal"/>
        <w:ind w:firstLine="709"/>
        <w:jc w:val="both"/>
        <w:rPr/>
      </w:pPr>
      <w:r>
        <w:rPr>
          <w:rFonts w:cs="Times New Roman" w:ascii="Times New Roman" w:hAnsi="Times New Roman"/>
          <w:color w:val="000000"/>
          <w:sz w:val="26"/>
          <w:szCs w:val="26"/>
        </w:rPr>
        <w:t xml:space="preserve">Таким образом, Заказчиком установлены условия энергосервисного контракта в нарушение </w:t>
      </w:r>
      <w:hyperlink r:id="rId7">
        <w:r>
          <w:rPr>
            <w:rFonts w:cs="Times New Roman" w:ascii="Times New Roman" w:hAnsi="Times New Roman"/>
            <w:color w:val="000000"/>
            <w:sz w:val="26"/>
            <w:szCs w:val="26"/>
          </w:rPr>
          <w:t>Постановлени</w:t>
        </w:r>
      </w:hyperlink>
      <w:r>
        <w:rPr>
          <w:rFonts w:cs="Times New Roman" w:ascii="Times New Roman" w:hAnsi="Times New Roman"/>
          <w:color w:val="000000"/>
          <w:sz w:val="26"/>
          <w:szCs w:val="26"/>
        </w:rPr>
        <w:t xml:space="preserve">я Правительства РФ от 18.08.2010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 которое является </w:t>
      </w:r>
      <w:r>
        <w:rPr>
          <w:rFonts w:eastAsia="Calibri" w:cs="Times New Roman" w:ascii="Times New Roman" w:hAnsi="Times New Roman"/>
          <w:color w:val="000000"/>
          <w:sz w:val="26"/>
          <w:szCs w:val="26"/>
        </w:rPr>
        <w:t xml:space="preserve">специальным нормативным актом в сфере энергосбережения. </w:t>
      </w:r>
    </w:p>
    <w:p>
      <w:pPr>
        <w:pStyle w:val="NormalWeb"/>
        <w:spacing w:lineRule="auto" w:line="276" w:beforeAutospacing="0" w:before="0" w:afterAutospacing="0" w:after="0"/>
        <w:ind w:firstLine="567"/>
        <w:jc w:val="both"/>
        <w:rPr>
          <w:color w:val="000000"/>
        </w:rPr>
      </w:pPr>
      <w:r>
        <w:rPr>
          <w:bCs/>
          <w:color w:val="000000"/>
          <w:sz w:val="26"/>
          <w:szCs w:val="26"/>
        </w:rPr>
        <w:t>3. П. 13.3.1. контракта предусмотрено, что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если иной срок не указан в такой претензии. Оставление претензии без ответа в установленный срок означает признание требований претензии.</w:t>
      </w:r>
    </w:p>
    <w:p>
      <w:pPr>
        <w:pStyle w:val="NormalWeb"/>
        <w:spacing w:lineRule="auto" w:line="276" w:beforeAutospacing="0" w:before="0" w:afterAutospacing="0" w:after="0"/>
        <w:ind w:firstLine="567"/>
        <w:jc w:val="both"/>
        <w:rPr>
          <w:color w:val="000000"/>
        </w:rPr>
      </w:pPr>
      <w:r>
        <w:rPr>
          <w:bCs/>
          <w:color w:val="000000"/>
          <w:sz w:val="26"/>
          <w:szCs w:val="26"/>
        </w:rPr>
        <w:t xml:space="preserve">В силу ч. 16 ст. 94 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 </w:t>
      </w:r>
      <w:r>
        <w:rPr>
          <w:bCs/>
          <w:color w:val="000000"/>
          <w:sz w:val="26"/>
          <w:szCs w:val="26"/>
          <w:u w:val="single"/>
        </w:rPr>
        <w:t>такой обмен осуществляется с использованием единой информационной системы путем направления электронных уведомлений</w:t>
      </w:r>
      <w:r>
        <w:rPr>
          <w:bCs/>
          <w:color w:val="000000"/>
          <w:sz w:val="26"/>
          <w:szCs w:val="26"/>
        </w:rPr>
        <w:t>.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Normal"/>
        <w:ind w:firstLine="709"/>
        <w:jc w:val="both"/>
        <w:rPr>
          <w:color w:val="000000"/>
        </w:rPr>
      </w:pPr>
      <w:r>
        <w:rPr>
          <w:bCs/>
          <w:color w:val="000000"/>
          <w:sz w:val="26"/>
          <w:szCs w:val="26"/>
        </w:rPr>
        <w:t xml:space="preserve">4. </w:t>
      </w:r>
      <w:r>
        <w:rPr>
          <w:rFonts w:cs="Times New Roman" w:ascii="Times New Roman" w:hAnsi="Times New Roman"/>
          <w:bCs/>
          <w:color w:val="000000"/>
          <w:sz w:val="26"/>
          <w:szCs w:val="26"/>
        </w:rPr>
        <w:t xml:space="preserve">В извещении о закупке определены 3 этапа исполнения контракта, а именно: </w:t>
      </w:r>
    </w:p>
    <w:p>
      <w:pPr>
        <w:pStyle w:val="Normal"/>
        <w:ind w:firstLine="709"/>
        <w:jc w:val="both"/>
        <w:rPr>
          <w:color w:val="000000"/>
        </w:rPr>
      </w:pPr>
      <w:r>
        <w:rPr>
          <w:rFonts w:cs="Times New Roman" w:ascii="Times New Roman" w:hAnsi="Times New Roman"/>
          <w:bCs/>
          <w:color w:val="000000"/>
          <w:sz w:val="26"/>
          <w:szCs w:val="26"/>
        </w:rPr>
        <w:t xml:space="preserve">- с даты заключения контракта - 31.07.2025 стоимостью 17 859 087,68 рублей; </w:t>
      </w:r>
    </w:p>
    <w:p>
      <w:pPr>
        <w:pStyle w:val="Normal"/>
        <w:ind w:firstLine="709"/>
        <w:jc w:val="both"/>
        <w:rPr>
          <w:color w:val="000000"/>
        </w:rPr>
      </w:pPr>
      <w:r>
        <w:rPr>
          <w:rFonts w:cs="Times New Roman" w:ascii="Times New Roman" w:hAnsi="Times New Roman"/>
          <w:bCs/>
          <w:color w:val="000000"/>
          <w:sz w:val="26"/>
          <w:szCs w:val="26"/>
        </w:rPr>
        <w:t>- 01.07.2025 - 31.07.2026 стоимостью 35 718 175,36 рублей;</w:t>
      </w:r>
    </w:p>
    <w:p>
      <w:pPr>
        <w:pStyle w:val="Normal"/>
        <w:ind w:firstLine="709"/>
        <w:jc w:val="both"/>
        <w:rPr>
          <w:color w:val="000000"/>
        </w:rPr>
      </w:pPr>
      <w:r>
        <w:rPr>
          <w:rFonts w:cs="Times New Roman" w:ascii="Times New Roman" w:hAnsi="Times New Roman"/>
          <w:bCs/>
          <w:color w:val="000000"/>
          <w:sz w:val="26"/>
          <w:szCs w:val="26"/>
        </w:rPr>
        <w:t xml:space="preserve">- 01.07.2026 - 31.07.2033 стоимостью 232 168 139,84 рублей. </w:t>
      </w:r>
    </w:p>
    <w:p>
      <w:pPr>
        <w:pStyle w:val="Normal"/>
        <w:ind w:firstLine="709"/>
        <w:jc w:val="both"/>
        <w:rPr>
          <w:color w:val="000000"/>
        </w:rPr>
      </w:pPr>
      <w:r>
        <w:rPr>
          <w:rFonts w:cs="Times New Roman" w:ascii="Times New Roman" w:hAnsi="Times New Roman"/>
          <w:color w:val="000000"/>
          <w:sz w:val="26"/>
          <w:szCs w:val="26"/>
        </w:rPr>
        <w:t>При этом, проектом контракта, Описанием объекта закупки, иными документами отдельные этапы, срок их начала/окончания, стоимость этапов не предусмотрены.</w:t>
      </w:r>
    </w:p>
    <w:p>
      <w:pPr>
        <w:pStyle w:val="NormalWeb"/>
        <w:spacing w:lineRule="auto" w:line="276" w:beforeAutospacing="0" w:before="0" w:afterAutospacing="0" w:after="0"/>
        <w:ind w:firstLine="709"/>
        <w:jc w:val="both"/>
        <w:rPr>
          <w:color w:val="000000"/>
        </w:rPr>
      </w:pPr>
      <w:r>
        <w:rPr>
          <w:rFonts w:eastAsia="Andale Sans UI"/>
          <w:bCs/>
          <w:color w:val="000000"/>
          <w:kern w:val="2"/>
          <w:sz w:val="26"/>
          <w:szCs w:val="26"/>
          <w:lang w:eastAsia="zh-CN"/>
        </w:rPr>
        <w:t>Согласно п. 8.4 ч. 1 ст. 3 Закона о контрактной системе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NormalWeb"/>
        <w:spacing w:lineRule="auto" w:line="276" w:beforeAutospacing="0" w:before="0" w:afterAutospacing="0" w:after="0"/>
        <w:ind w:firstLine="709"/>
        <w:jc w:val="both"/>
        <w:rPr>
          <w:color w:val="000000"/>
        </w:rPr>
      </w:pPr>
      <w:r>
        <w:rPr>
          <w:rFonts w:eastAsia="Andale Sans UI"/>
          <w:bCs/>
          <w:color w:val="000000"/>
          <w:kern w:val="2"/>
          <w:sz w:val="26"/>
          <w:szCs w:val="26"/>
          <w:lang w:eastAsia="zh-CN"/>
        </w:rPr>
        <w:t xml:space="preserve">В разделе 1 проекта контракта определено понятие </w:t>
      </w:r>
      <w:r>
        <w:rPr>
          <w:rFonts w:eastAsia="Andale Sans UI"/>
          <w:b/>
          <w:bCs/>
          <w:color w:val="000000"/>
          <w:kern w:val="2"/>
          <w:sz w:val="26"/>
          <w:szCs w:val="26"/>
          <w:lang w:eastAsia="zh-CN"/>
        </w:rPr>
        <w:t>отчетного периода</w:t>
      </w:r>
      <w:r>
        <w:rPr>
          <w:rFonts w:eastAsia="Andale Sans UI"/>
          <w:bCs/>
          <w:color w:val="000000"/>
          <w:kern w:val="2"/>
          <w:sz w:val="26"/>
          <w:szCs w:val="26"/>
          <w:lang w:eastAsia="zh-CN"/>
        </w:rPr>
        <w:t xml:space="preserve"> – период, за который определяется достигнутый размер экономии энергетических ресурсов (доля размера экономии) (календарный месяц с первого числа каждого месяца до последнего числа каждого месяца).</w:t>
      </w:r>
    </w:p>
    <w:p>
      <w:pPr>
        <w:pStyle w:val="NormalWeb"/>
        <w:spacing w:lineRule="auto" w:line="276" w:beforeAutospacing="0" w:before="0" w:afterAutospacing="0" w:after="0"/>
        <w:ind w:firstLine="709"/>
        <w:jc w:val="both"/>
        <w:rPr>
          <w:color w:val="000000"/>
        </w:rPr>
      </w:pPr>
      <w:r>
        <w:rPr>
          <w:rFonts w:eastAsia="Andale Sans UI"/>
          <w:bCs/>
          <w:color w:val="000000"/>
          <w:kern w:val="2"/>
          <w:sz w:val="26"/>
          <w:szCs w:val="26"/>
          <w:lang w:eastAsia="zh-CN"/>
        </w:rPr>
        <w:t>Как предусмотрено п. 2.5. проекта контракта, начальный срок достижения предусмотренного Контрактом размера экономии – первый полный календарный месяц, следующий за месяцем, в котором были реализованы энергосберегающие мероприятия. Конечный срок достижения размера экономии – последний отчетный период 96-й полный календарный месяц, следующий за месяцем окончания энергосберегающих мероприятий.</w:t>
      </w:r>
    </w:p>
    <w:p>
      <w:pPr>
        <w:pStyle w:val="NormalWeb"/>
        <w:spacing w:lineRule="auto" w:line="276" w:beforeAutospacing="0" w:before="0" w:afterAutospacing="0" w:after="0"/>
        <w:ind w:firstLine="709"/>
        <w:jc w:val="both"/>
        <w:rPr>
          <w:color w:val="000000"/>
        </w:rPr>
      </w:pPr>
      <w:r>
        <w:rPr>
          <w:rFonts w:eastAsia="Andale Sans UI"/>
          <w:bCs/>
          <w:color w:val="000000"/>
          <w:kern w:val="2"/>
          <w:sz w:val="26"/>
          <w:szCs w:val="26"/>
          <w:lang w:eastAsia="zh-CN"/>
        </w:rPr>
        <w:t xml:space="preserve">По условиям раздела 6 проекта контракта в целях оплаты по контракту Стороны </w:t>
      </w:r>
      <w:r>
        <w:rPr>
          <w:rFonts w:eastAsia="Andale Sans UI"/>
          <w:b/>
          <w:bCs/>
          <w:color w:val="000000"/>
          <w:kern w:val="2"/>
          <w:sz w:val="26"/>
          <w:szCs w:val="26"/>
          <w:lang w:eastAsia="zh-CN"/>
        </w:rPr>
        <w:t>ежемесячно (каждый отчетный период)</w:t>
      </w:r>
      <w:r>
        <w:rPr>
          <w:rFonts w:eastAsia="Andale Sans UI"/>
          <w:bCs/>
          <w:color w:val="000000"/>
          <w:kern w:val="2"/>
          <w:sz w:val="26"/>
          <w:szCs w:val="26"/>
          <w:lang w:eastAsia="zh-CN"/>
        </w:rPr>
        <w:t xml:space="preserve"> составляют Акт о потреблении энергетических ресурсов (по форме Приложения № 6 к настоящему Контракту), в котором стороны фиксируют размер достигнутой экономии, и Акт об определении экономии энергетических ресурсов (по форме Приложения № 5 к настоящему Контракту), на основании которого Заказчик осуществляет оплату по контракту. </w:t>
      </w:r>
    </w:p>
    <w:p>
      <w:pPr>
        <w:pStyle w:val="NormalWeb"/>
        <w:spacing w:lineRule="auto" w:line="276" w:beforeAutospacing="0" w:before="0" w:afterAutospacing="0" w:after="0"/>
        <w:ind w:firstLine="709"/>
        <w:jc w:val="both"/>
        <w:rPr>
          <w:color w:val="000000"/>
        </w:rPr>
      </w:pPr>
      <w:r>
        <w:rPr>
          <w:rFonts w:eastAsia="Andale Sans UI"/>
          <w:bCs/>
          <w:color w:val="000000"/>
          <w:kern w:val="2"/>
          <w:sz w:val="26"/>
          <w:szCs w:val="26"/>
          <w:lang w:eastAsia="zh-CN"/>
        </w:rPr>
        <w:t xml:space="preserve">Таким образом, установленные извещением условия об этапности исполнения контракта противоречат положениям проекта контракта, что </w:t>
      </w:r>
      <w:r>
        <w:rPr>
          <w:rFonts w:eastAsia="Calibri" w:eastAsiaTheme="minorHAnsi"/>
          <w:color w:val="000000"/>
          <w:sz w:val="26"/>
          <w:szCs w:val="26"/>
          <w:lang w:eastAsia="en-US"/>
        </w:rPr>
        <w:t>обуславливает неопределенность в части порядка исполнения контракта, порядка сдачи-приемки энергосберегающих мероприятий и оплаты достигнутой экономии.</w:t>
      </w:r>
    </w:p>
    <w:p>
      <w:pPr>
        <w:pStyle w:val="Normal"/>
        <w:widowControl w:val="false"/>
        <w:numPr>
          <w:ilvl w:val="0"/>
          <w:numId w:val="0"/>
        </w:numPr>
        <w:spacing w:lineRule="auto" w:line="240" w:before="0" w:after="0"/>
        <w:ind w:left="0" w:firstLine="540"/>
        <w:jc w:val="both"/>
        <w:outlineLvl w:val="2"/>
        <w:rPr>
          <w:color w:val="000000"/>
        </w:rPr>
      </w:pPr>
      <w:r>
        <w:rPr>
          <w:rFonts w:cs="Times New Roman" w:ascii="Times New Roman" w:hAnsi="Times New Roman"/>
          <w:bCs/>
          <w:color w:val="000000"/>
          <w:sz w:val="26"/>
          <w:szCs w:val="26"/>
        </w:rPr>
        <w:t xml:space="preserve">С учетом изложенных обстоятельств, извещение закупки и прикрепленные документы содержат нарушение </w:t>
      </w:r>
      <w:r>
        <w:rPr>
          <w:rFonts w:cs="Times New Roman" w:ascii="Times New Roman" w:hAnsi="Times New Roman"/>
          <w:color w:val="000000"/>
          <w:sz w:val="26"/>
          <w:szCs w:val="26"/>
        </w:rPr>
        <w:t>ч.6 ст.23, п.1), п.7) ч.1 ст.42, п.1) ч.1 ст.33, ч.3 ст.7, ч.2 ст.8, ст.14, ч.ч.13, 19 ст.108, ч.16 ст.94 Закона о контрактной системе.</w:t>
      </w:r>
    </w:p>
    <w:p>
      <w:pPr>
        <w:pStyle w:val="Normal"/>
        <w:ind w:firstLine="540"/>
        <w:jc w:val="both"/>
        <w:rPr>
          <w:color w:val="000000"/>
        </w:rPr>
      </w:pPr>
      <w:r>
        <w:rPr>
          <w:rFonts w:cs="Times New Roman" w:ascii="Times New Roman" w:hAnsi="Times New Roman"/>
          <w:color w:val="000000"/>
          <w:sz w:val="26"/>
          <w:szCs w:val="26"/>
        </w:rPr>
        <w:t>Комиссия, руководствуясь ч.15, ч.22, ч.23 ч.8 ст.106 Закона о контрактной системе,</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widowControl w:val="false"/>
        <w:numPr>
          <w:ilvl w:val="0"/>
          <w:numId w:val="0"/>
        </w:numPr>
        <w:spacing w:lineRule="auto" w:line="240" w:before="0" w:after="0"/>
        <w:ind w:left="0" w:firstLine="540"/>
        <w:jc w:val="center"/>
        <w:outlineLvl w:val="2"/>
        <w:rPr>
          <w:color w:val="000000"/>
        </w:rPr>
      </w:pPr>
      <w:r>
        <w:rPr>
          <w:rFonts w:cs="Times New Roman" w:ascii="Times New Roman" w:hAnsi="Times New Roman"/>
          <w:color w:val="000000"/>
          <w:sz w:val="26"/>
          <w:szCs w:val="26"/>
        </w:rPr>
        <w:t>РЕШИЛА:</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ListParagraph"/>
        <w:widowControl w:val="false"/>
        <w:numPr>
          <w:ilvl w:val="0"/>
          <w:numId w:val="5"/>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жалобу ПАО «Ростелеком» обоснованной.</w:t>
      </w:r>
    </w:p>
    <w:p>
      <w:pPr>
        <w:pStyle w:val="ListParagraph"/>
        <w:widowControl w:val="false"/>
        <w:numPr>
          <w:ilvl w:val="0"/>
          <w:numId w:val="6"/>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в действиях заказчика – УЖКХ администрации МО г. Армавир, уполномоченного органа – управление по закупкам для муниципальных нужд администрации МО г. Армавир нарушение ч.6 ст.23, п.1), п.7) ч.1 ст.42, п.1) ч.1 ст.33, ч.3 ст.7, ч.2 ст.8, ст.14, ч.ч.13, 19 ст.108, ч.16 ст.94 Закона о контрактной системе.</w:t>
      </w:r>
    </w:p>
    <w:p>
      <w:pPr>
        <w:pStyle w:val="ListParagraph"/>
        <w:widowControl w:val="false"/>
        <w:numPr>
          <w:ilvl w:val="0"/>
          <w:numId w:val="7"/>
        </w:numPr>
        <w:spacing w:lineRule="auto" w:line="240" w:before="0" w:after="0"/>
        <w:contextualSpacing/>
        <w:jc w:val="both"/>
        <w:outlineLvl w:val="2"/>
        <w:rPr>
          <w:color w:val="000000"/>
        </w:rPr>
      </w:pPr>
      <w:r>
        <w:rPr>
          <w:rFonts w:cs="Times New Roman" w:ascii="Times New Roman" w:hAnsi="Times New Roman"/>
          <w:color w:val="000000"/>
          <w:sz w:val="26"/>
          <w:szCs w:val="26"/>
        </w:rPr>
        <w:t>Заказчику - УЖКХ администрации МО г. Армавир, уполномоченному органу (комиссии) – управлению по закупкам для муниципальных нужд администрации МО г. Армавир выдать предписание об устранении нарушений Закона о контрактной системе.</w:t>
      </w:r>
    </w:p>
    <w:p>
      <w:pPr>
        <w:pStyle w:val="ListParagraph"/>
        <w:widowControl w:val="false"/>
        <w:numPr>
          <w:ilvl w:val="0"/>
          <w:numId w:val="8"/>
        </w:numPr>
        <w:spacing w:lineRule="auto" w:line="240" w:before="0" w:after="0"/>
        <w:contextualSpacing/>
        <w:jc w:val="both"/>
        <w:outlineLvl w:val="2"/>
        <w:rPr>
          <w:color w:val="000000"/>
        </w:rPr>
      </w:pPr>
      <w:r>
        <w:rPr>
          <w:rFonts w:cs="Times New Roman" w:ascii="Times New Roman" w:hAnsi="Times New Roman"/>
          <w:color w:val="000000"/>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pPr>
        <w:pStyle w:val="Normal"/>
        <w:widowControl w:val="false"/>
        <w:numPr>
          <w:ilvl w:val="0"/>
          <w:numId w:val="0"/>
        </w:numPr>
        <w:spacing w:lineRule="auto" w:line="240" w:before="0" w:after="0"/>
        <w:ind w:left="540" w:hanging="0"/>
        <w:jc w:val="both"/>
        <w:outlineLvl w:val="2"/>
        <w:rPr>
          <w:color w:val="000000"/>
        </w:rPr>
      </w:pPr>
      <w:r>
        <w:rPr>
          <w:rFonts w:cs="Times New Roman" w:ascii="Times New Roman" w:hAnsi="Times New Roman"/>
          <w:color w:val="000000"/>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color w:val="000000"/>
          <w:sz w:val="26"/>
          <w:szCs w:val="26"/>
        </w:rPr>
      </w:r>
    </w:p>
    <w:p>
      <w:pPr>
        <w:pStyle w:val="Normal"/>
        <w:spacing w:before="0" w:after="200"/>
        <w:rPr>
          <w:color w:val="000000"/>
        </w:rPr>
      </w:pPr>
      <w:r>
        <w:rPr>
          <w:color w:val="000000"/>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00" w:hanging="360"/>
      </w:p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lvl w:ilvl="0">
      <w:start w:val="1"/>
      <w:numFmt w:val="decimal"/>
      <w:lvlText w:val="%1."/>
      <w:lvlJc w:val="left"/>
      <w:pPr>
        <w:tabs>
          <w:tab w:val="num" w:pos="0"/>
        </w:tabs>
        <w:ind w:left="900" w:hanging="360"/>
      </w:p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3"/>
    <w:lvlOverride w:ilvl="0">
      <w:startOverride w:val="1"/>
    </w:lvlOverride>
  </w:num>
  <w:num w:numId="6">
    <w:abstractNumId w:val="3"/>
  </w:num>
  <w:num w:numId="7">
    <w:abstractNumId w:val="3"/>
  </w:num>
  <w:num w:numId="8">
    <w:abstractNumId w:val="3"/>
  </w:num>
</w:numbering>
</file>

<file path=word/settings.xml><?xml version="1.0" encoding="utf-8"?>
<w:settings xmlns:w="http://schemas.openxmlformats.org/wordprocessingml/2006/main">
  <w:zoom w:percent="124"/>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3f6393"/>
    <w:rPr>
      <w:color w:val="0000FF"/>
      <w:u w:val="single"/>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unhideWhenUsed/>
    <w:qFormat/>
    <w:rsid w:val="00235c14"/>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E5DB5B287AA75E4986542C62F9A8047E67C65B4046C792EC3C9AE0998F63AFF65E3B504052A89E0CA80AEC0D773953A368007594B7AECCFzF67J" TargetMode="External"/><Relationship Id="rId3" Type="http://schemas.openxmlformats.org/officeDocument/2006/relationships/hyperlink" Target="https://login.consultant.ru/link/?req=doc&amp;base=LAW&amp;n=456872&amp;dst=5" TargetMode="External"/><Relationship Id="rId4" Type="http://schemas.openxmlformats.org/officeDocument/2006/relationships/hyperlink" Target="https://login.consultant.ru/link/?req=doc&amp;base=LAW&amp;n=456872&amp;dst=31" TargetMode="External"/><Relationship Id="rId5" Type="http://schemas.openxmlformats.org/officeDocument/2006/relationships/hyperlink" Target="https://login.consultant.ru/link/?req=doc&amp;base=LAW&amp;n=208687" TargetMode="External"/><Relationship Id="rId6" Type="http://schemas.openxmlformats.org/officeDocument/2006/relationships/hyperlink" Target="https://login.consultant.ru/link/?req=doc&amp;base=LAW&amp;n=208687" TargetMode="External"/><Relationship Id="rId7" Type="http://schemas.openxmlformats.org/officeDocument/2006/relationships/hyperlink" Target="https://login.consultant.ru/link/?req=doc&amp;base=LAW&amp;n=208687"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2EA39-96D1-4815-BEDC-D977715D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Application>LibreOffice/7.2.5.2$Windows_X86_64 LibreOffice_project/499f9727c189e6ef3471021d6132d4c694f357e5</Application>
  <AppVersion>15.0000</AppVersion>
  <Pages>18</Pages>
  <Words>5190</Words>
  <Characters>37741</Characters>
  <CharactersWithSpaces>42967</CharactersWithSpaces>
  <Paragraphs>135</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2024-10-30T18:51:59Z</dcterms:modified>
  <cp:revision>483</cp:revision>
  <dc:subject/>
  <dc:title/>
</cp:coreProperties>
</file>

<file path=docProps/custom.xml><?xml version="1.0" encoding="utf-8"?>
<Properties xmlns="http://schemas.openxmlformats.org/officeDocument/2006/custom-properties" xmlns:vt="http://schemas.openxmlformats.org/officeDocument/2006/docPropsVTypes"/>
</file>