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rPr>
      </w:pPr>
      <w:r>
        <w:rPr>
          <w:rFonts w:cs="Times New Roman" w:ascii="Times New Roman" w:hAnsi="Times New Roman"/>
          <w:sz w:val="26"/>
          <w:szCs w:val="26"/>
        </w:rPr>
        <w:t>РЕШЕНИЕ № 1125/2024</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023/06/33-</w:t>
      </w:r>
      <w:r>
        <w:rPr>
          <w:rFonts w:cs="Times New Roman" w:ascii="Times New Roman" w:hAnsi="Times New Roman"/>
          <w:sz w:val="26"/>
          <w:szCs w:val="26"/>
          <w:lang w:val="en-US"/>
        </w:rPr>
        <w:t>6186</w:t>
      </w:r>
      <w:bookmarkStart w:id="0" w:name="_GoBack"/>
      <w:bookmarkEnd w:id="0"/>
      <w:r>
        <w:rPr>
          <w:rFonts w:cs="Times New Roman" w:ascii="Times New Roman" w:hAnsi="Times New Roman"/>
          <w:sz w:val="26"/>
          <w:szCs w:val="26"/>
        </w:rPr>
        <w:t>/2024</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05 декабря 2024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рассмотрев жалобу ИП Пономарева М.Д. (далее Заявитель) на действия заказчика – МКУ «Центр культуры, спорта и молодежной политики Отрадненского сельского поселения Отрадненского района», уполномоченного учреждения – МКУ «Центр муниципальных закупок и услуг» Григорьева Г.М., в отсутствие представителя МКУ «Центр культуры, спорта и молодежной при проведении электронного аукциона: «Приобретение оборудования для объекта «Капитальный ремонт сельского дома культуры в ст. Отрадная, ул. Урупская, 64» (извещение № 0818600006124000128)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описание объекта закупки составлено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отсутствует товар, соответствующий описанию объекта закупки.</w:t>
      </w:r>
    </w:p>
    <w:p>
      <w:pPr>
        <w:pStyle w:val="Normal"/>
        <w:jc w:val="both"/>
        <w:rPr>
          <w:rFonts w:ascii="Times New Roman" w:hAnsi="Times New Roman" w:cs="Times New Roman"/>
          <w:sz w:val="26"/>
          <w:szCs w:val="26"/>
        </w:rPr>
      </w:pPr>
      <w:r>
        <w:rPr>
          <w:rFonts w:cs="Times New Roman" w:ascii="Times New Roman" w:hAnsi="Times New Roman"/>
          <w:sz w:val="26"/>
          <w:szCs w:val="26"/>
        </w:rPr>
        <w:tab/>
        <w:t>Уполномоченным учреждением предоставлены письменные пояснения, согласно которым Описание объекта закупки соответствует ст.33 Закона о контрактной системе.</w:t>
        <w:tab/>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Уполномоченным учреждением –</w:t>
      </w:r>
      <w:r>
        <w:rPr>
          <w:rFonts w:eastAsia="Times New Roman" w:cs="Times New Roman" w:ascii="Times New Roman" w:hAnsi="Times New Roman"/>
          <w:sz w:val="26"/>
          <w:szCs w:val="26"/>
        </w:rPr>
        <w:t xml:space="preserve"> МКУ «Центр муниципальных закупок и услуг» </w:t>
      </w:r>
      <w:r>
        <w:rPr>
          <w:rFonts w:cs="Times New Roman" w:ascii="Times New Roman" w:hAnsi="Times New Roman"/>
          <w:sz w:val="26"/>
          <w:szCs w:val="26"/>
        </w:rPr>
        <w:t xml:space="preserve">в ЕИС 22.11.2024 </w:t>
      </w:r>
      <w:r>
        <w:rPr>
          <w:rFonts w:eastAsia="Times New Roman" w:cs="Times New Roman" w:ascii="Times New Roman" w:hAnsi="Times New Roman"/>
          <w:sz w:val="26"/>
          <w:szCs w:val="26"/>
        </w:rPr>
        <w:t>размещено извещение о проведении электронного аукциона: «Приобретение оборудования для объекта «Капитальный ремонт сельского дома культуры в ст. Отрадная, ул. Урупская, 64» (извещение № 0818600006124000128) с НМЦК 1 093 548,15 рублей. Заказчик - МКУ «Центр культуры, спорта и молодежной политики Отрадненского сельского поселения Отрадненского района».</w:t>
      </w:r>
    </w:p>
    <w:p>
      <w:pPr>
        <w:pStyle w:val="Normal"/>
        <w:ind w:firstLine="567"/>
        <w:jc w:val="both"/>
        <w:rPr>
          <w:rFonts w:ascii="Times New Roman" w:hAnsi="Times New Roman" w:cs="Times New Roman"/>
          <w:sz w:val="26"/>
          <w:szCs w:val="26"/>
        </w:rPr>
      </w:pPr>
      <w:r>
        <w:rPr>
          <w:rFonts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п.2)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Normal"/>
        <w:ind w:firstLine="708"/>
        <w:jc w:val="both"/>
        <w:rPr>
          <w:rFonts w:ascii="Times New Roman" w:hAnsi="Times New Roman" w:cs="Times New Roman"/>
          <w:sz w:val="26"/>
          <w:szCs w:val="26"/>
        </w:rPr>
      </w:pPr>
      <w:bookmarkStart w:id="1" w:name="dst744"/>
      <w:bookmarkEnd w:id="1"/>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составе извещения размещено Описание объекта закупки с указанием требуемых характеристик. При описании объекта закупки использовалась позиция КТРУ 26.40.43.120-00000001 Усилитель мощности, КТРУ 26.40.42.120-00000005 Гарнитура, КТРУ 26.40.31.190-00000003 Микшерный пульт, КТРУ 26.40.41.000-00000006 Микрофон музыкальный, КТРУ 26.40.31.190-00000029 Радиосистема, КТРУ 26.40.31.190-00000011 Акустическая система, КТРУ 26.40.41.000-00000014 Подставка для микрофона, КТРУ 26.40.43.110-00000001 Сабвуфер и предусмотренные данными позициями характеристики.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Заявитель указывает, что провел анализ торгов, представленных в Интернете. На рынке товаров отсутствует два товара от разных производителей, которые соответствует требования Описания объекта закупки.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Представителем уполномоченного учреждения в материалы дела предоставлена информация о моделях, соответствующих Описанию объекта закупки.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В частности, по поз. Усилитель мощности </w:t>
      </w:r>
      <w:r>
        <w:rPr>
          <w:rFonts w:cs="Times New Roman" w:ascii="Times New Roman" w:hAnsi="Times New Roman"/>
          <w:sz w:val="26"/>
          <w:szCs w:val="26"/>
          <w:lang w:val="en-US"/>
        </w:rPr>
        <w:t>Behringer</w:t>
      </w:r>
      <w:r>
        <w:rPr>
          <w:rFonts w:cs="Times New Roman" w:ascii="Times New Roman" w:hAnsi="Times New Roman"/>
          <w:sz w:val="26"/>
          <w:szCs w:val="26"/>
        </w:rPr>
        <w:t xml:space="preserve"> </w:t>
      </w:r>
      <w:r>
        <w:rPr>
          <w:rFonts w:cs="Times New Roman" w:ascii="Times New Roman" w:hAnsi="Times New Roman"/>
          <w:sz w:val="26"/>
          <w:szCs w:val="26"/>
          <w:lang w:val="en-US"/>
        </w:rPr>
        <w:t>Amp</w:t>
      </w:r>
      <w:r>
        <w:rPr>
          <w:rFonts w:cs="Times New Roman" w:ascii="Times New Roman" w:hAnsi="Times New Roman"/>
          <w:sz w:val="26"/>
          <w:szCs w:val="26"/>
        </w:rPr>
        <w:t>800</w:t>
      </w:r>
      <w:r>
        <w:rPr>
          <w:rFonts w:cs="Times New Roman" w:ascii="Times New Roman" w:hAnsi="Times New Roman"/>
          <w:sz w:val="26"/>
          <w:szCs w:val="26"/>
          <w:lang w:val="en-US"/>
        </w:rPr>
        <w:t>V</w:t>
      </w:r>
      <w:r>
        <w:rPr>
          <w:rFonts w:cs="Times New Roman" w:ascii="Times New Roman" w:hAnsi="Times New Roman"/>
          <w:sz w:val="26"/>
          <w:szCs w:val="26"/>
        </w:rPr>
        <w:t xml:space="preserve">2, </w:t>
      </w:r>
      <w:r>
        <w:rPr>
          <w:rFonts w:cs="Times New Roman" w:ascii="Times New Roman" w:hAnsi="Times New Roman"/>
          <w:sz w:val="26"/>
          <w:szCs w:val="26"/>
          <w:lang w:val="en-US"/>
        </w:rPr>
        <w:t>Alctron</w:t>
      </w:r>
      <w:r>
        <w:rPr>
          <w:rFonts w:cs="Times New Roman" w:ascii="Times New Roman" w:hAnsi="Times New Roman"/>
          <w:sz w:val="26"/>
          <w:szCs w:val="26"/>
        </w:rPr>
        <w:t xml:space="preserve"> </w:t>
      </w:r>
      <w:r>
        <w:rPr>
          <w:rFonts w:cs="Times New Roman" w:ascii="Times New Roman" w:hAnsi="Times New Roman"/>
          <w:sz w:val="26"/>
          <w:szCs w:val="26"/>
          <w:lang w:val="en-US"/>
        </w:rPr>
        <w:t>HA</w:t>
      </w:r>
      <w:r>
        <w:rPr>
          <w:rFonts w:cs="Times New Roman" w:ascii="Times New Roman" w:hAnsi="Times New Roman"/>
          <w:sz w:val="26"/>
          <w:szCs w:val="26"/>
        </w:rPr>
        <w:t xml:space="preserve">4 </w:t>
      </w:r>
      <w:r>
        <w:rPr>
          <w:rFonts w:cs="Times New Roman" w:ascii="Times New Roman" w:hAnsi="Times New Roman"/>
          <w:sz w:val="26"/>
          <w:szCs w:val="26"/>
          <w:lang w:val="en-US"/>
        </w:rPr>
        <w:t>Plus</w:t>
      </w:r>
      <w:r>
        <w:rPr>
          <w:rFonts w:cs="Times New Roman" w:ascii="Times New Roman" w:hAnsi="Times New Roman"/>
          <w:sz w:val="26"/>
          <w:szCs w:val="26"/>
        </w:rPr>
        <w:t xml:space="preserve">; поз. Гарнитура </w:t>
      </w:r>
      <w:r>
        <w:rPr>
          <w:rFonts w:cs="Times New Roman" w:ascii="Times New Roman" w:hAnsi="Times New Roman"/>
          <w:sz w:val="26"/>
          <w:szCs w:val="26"/>
          <w:lang w:val="en-US"/>
        </w:rPr>
        <w:t>AKG</w:t>
      </w:r>
      <w:r>
        <w:rPr>
          <w:rFonts w:cs="Times New Roman" w:ascii="Times New Roman" w:hAnsi="Times New Roman"/>
          <w:sz w:val="26"/>
          <w:szCs w:val="26"/>
        </w:rPr>
        <w:t xml:space="preserve"> </w:t>
      </w:r>
      <w:r>
        <w:rPr>
          <w:rFonts w:cs="Times New Roman" w:ascii="Times New Roman" w:hAnsi="Times New Roman"/>
          <w:sz w:val="26"/>
          <w:szCs w:val="26"/>
          <w:lang w:val="en-US"/>
        </w:rPr>
        <w:t>K</w:t>
      </w:r>
      <w:r>
        <w:rPr>
          <w:rFonts w:cs="Times New Roman" w:ascii="Times New Roman" w:hAnsi="Times New Roman"/>
          <w:sz w:val="26"/>
          <w:szCs w:val="26"/>
        </w:rPr>
        <w:t xml:space="preserve">182, </w:t>
      </w:r>
      <w:r>
        <w:rPr>
          <w:rFonts w:cs="Times New Roman" w:ascii="Times New Roman" w:hAnsi="Times New Roman"/>
          <w:sz w:val="26"/>
          <w:szCs w:val="26"/>
          <w:lang w:val="en-US"/>
        </w:rPr>
        <w:t>Shure</w:t>
      </w:r>
      <w:r>
        <w:rPr>
          <w:rFonts w:cs="Times New Roman" w:ascii="Times New Roman" w:hAnsi="Times New Roman"/>
          <w:sz w:val="26"/>
          <w:szCs w:val="26"/>
        </w:rPr>
        <w:t xml:space="preserve"> </w:t>
      </w:r>
      <w:r>
        <w:rPr>
          <w:rFonts w:cs="Times New Roman" w:ascii="Times New Roman" w:hAnsi="Times New Roman"/>
          <w:sz w:val="26"/>
          <w:szCs w:val="26"/>
          <w:lang w:val="en-US"/>
        </w:rPr>
        <w:t>SRH</w:t>
      </w:r>
      <w:r>
        <w:rPr>
          <w:rFonts w:cs="Times New Roman" w:ascii="Times New Roman" w:hAnsi="Times New Roman"/>
          <w:sz w:val="26"/>
          <w:szCs w:val="26"/>
        </w:rPr>
        <w:t>550</w:t>
      </w:r>
      <w:r>
        <w:rPr>
          <w:rFonts w:cs="Times New Roman" w:ascii="Times New Roman" w:hAnsi="Times New Roman"/>
          <w:sz w:val="26"/>
          <w:szCs w:val="26"/>
          <w:lang w:val="en-US"/>
        </w:rPr>
        <w:t>DJ</w:t>
      </w:r>
      <w:r>
        <w:rPr>
          <w:rFonts w:cs="Times New Roman" w:ascii="Times New Roman" w:hAnsi="Times New Roman"/>
          <w:sz w:val="26"/>
          <w:szCs w:val="26"/>
        </w:rPr>
        <w:t xml:space="preserve">; поз. Микшерный пульт </w:t>
      </w:r>
      <w:r>
        <w:rPr>
          <w:rFonts w:cs="Times New Roman" w:ascii="Times New Roman" w:hAnsi="Times New Roman"/>
          <w:sz w:val="26"/>
          <w:szCs w:val="26"/>
          <w:lang w:val="en-US"/>
        </w:rPr>
        <w:t>Behringer</w:t>
      </w:r>
      <w:r>
        <w:rPr>
          <w:rFonts w:cs="Times New Roman" w:ascii="Times New Roman" w:hAnsi="Times New Roman"/>
          <w:sz w:val="26"/>
          <w:szCs w:val="26"/>
        </w:rPr>
        <w:t xml:space="preserve"> </w:t>
      </w:r>
      <w:r>
        <w:rPr>
          <w:rFonts w:cs="Times New Roman" w:ascii="Times New Roman" w:hAnsi="Times New Roman"/>
          <w:sz w:val="26"/>
          <w:szCs w:val="26"/>
          <w:lang w:val="en-US"/>
        </w:rPr>
        <w:t>Flow</w:t>
      </w:r>
      <w:r>
        <w:rPr>
          <w:rFonts w:cs="Times New Roman" w:ascii="Times New Roman" w:hAnsi="Times New Roman"/>
          <w:sz w:val="26"/>
          <w:szCs w:val="26"/>
        </w:rPr>
        <w:t xml:space="preserve">8, </w:t>
      </w:r>
      <w:r>
        <w:rPr>
          <w:rFonts w:cs="Times New Roman" w:ascii="Times New Roman" w:hAnsi="Times New Roman"/>
          <w:sz w:val="26"/>
          <w:szCs w:val="26"/>
          <w:lang w:val="en-US"/>
        </w:rPr>
        <w:t>Zoom</w:t>
      </w:r>
      <w:r>
        <w:rPr>
          <w:rFonts w:cs="Times New Roman" w:ascii="Times New Roman" w:hAnsi="Times New Roman"/>
          <w:sz w:val="26"/>
          <w:szCs w:val="26"/>
        </w:rPr>
        <w:t xml:space="preserve"> </w:t>
      </w:r>
      <w:r>
        <w:rPr>
          <w:rFonts w:cs="Times New Roman" w:ascii="Times New Roman" w:hAnsi="Times New Roman"/>
          <w:sz w:val="26"/>
          <w:szCs w:val="26"/>
          <w:lang w:val="en-US"/>
        </w:rPr>
        <w:t>L</w:t>
      </w:r>
      <w:r>
        <w:rPr>
          <w:rFonts w:cs="Times New Roman" w:ascii="Times New Roman" w:hAnsi="Times New Roman"/>
          <w:sz w:val="26"/>
          <w:szCs w:val="26"/>
        </w:rPr>
        <w:t xml:space="preserve">-12 </w:t>
      </w:r>
      <w:r>
        <w:rPr>
          <w:rFonts w:cs="Times New Roman" w:ascii="Times New Roman" w:hAnsi="Times New Roman"/>
          <w:sz w:val="26"/>
          <w:szCs w:val="26"/>
          <w:lang w:val="en-US"/>
        </w:rPr>
        <w:t>Livetrak</w:t>
      </w:r>
      <w:r>
        <w:rPr>
          <w:rFonts w:cs="Times New Roman" w:ascii="Times New Roman" w:hAnsi="Times New Roman"/>
          <w:sz w:val="26"/>
          <w:szCs w:val="26"/>
        </w:rPr>
        <w:t xml:space="preserve">; поз. Микрофон музыкальный </w:t>
      </w:r>
      <w:r>
        <w:rPr>
          <w:rFonts w:cs="Times New Roman" w:ascii="Times New Roman" w:hAnsi="Times New Roman"/>
          <w:sz w:val="26"/>
          <w:szCs w:val="26"/>
          <w:lang w:val="en-US"/>
        </w:rPr>
        <w:t>Behringer</w:t>
      </w:r>
      <w:r>
        <w:rPr>
          <w:rFonts w:cs="Times New Roman" w:ascii="Times New Roman" w:hAnsi="Times New Roman"/>
          <w:sz w:val="26"/>
          <w:szCs w:val="26"/>
        </w:rPr>
        <w:t xml:space="preserve"> </w:t>
      </w:r>
      <w:r>
        <w:rPr>
          <w:rFonts w:cs="Times New Roman" w:ascii="Times New Roman" w:hAnsi="Times New Roman"/>
          <w:sz w:val="26"/>
          <w:szCs w:val="26"/>
          <w:lang w:val="en-US"/>
        </w:rPr>
        <w:t>B</w:t>
      </w:r>
      <w:r>
        <w:rPr>
          <w:rFonts w:cs="Times New Roman" w:ascii="Times New Roman" w:hAnsi="Times New Roman"/>
          <w:sz w:val="26"/>
          <w:szCs w:val="26"/>
        </w:rPr>
        <w:t xml:space="preserve">-2 </w:t>
      </w:r>
      <w:r>
        <w:rPr>
          <w:rFonts w:cs="Times New Roman" w:ascii="Times New Roman" w:hAnsi="Times New Roman"/>
          <w:sz w:val="26"/>
          <w:szCs w:val="26"/>
          <w:lang w:val="en-US"/>
        </w:rPr>
        <w:t>Pro</w:t>
      </w:r>
      <w:r>
        <w:rPr>
          <w:rFonts w:cs="Times New Roman" w:ascii="Times New Roman" w:hAnsi="Times New Roman"/>
          <w:sz w:val="26"/>
          <w:szCs w:val="26"/>
        </w:rPr>
        <w:t xml:space="preserve">, </w:t>
      </w:r>
      <w:r>
        <w:rPr>
          <w:rFonts w:cs="Times New Roman" w:ascii="Times New Roman" w:hAnsi="Times New Roman"/>
          <w:sz w:val="26"/>
          <w:szCs w:val="26"/>
          <w:lang w:val="en-US"/>
        </w:rPr>
        <w:t>AKG</w:t>
      </w:r>
      <w:r>
        <w:rPr>
          <w:rFonts w:cs="Times New Roman" w:ascii="Times New Roman" w:hAnsi="Times New Roman"/>
          <w:sz w:val="26"/>
          <w:szCs w:val="26"/>
        </w:rPr>
        <w:t xml:space="preserve"> </w:t>
      </w:r>
      <w:r>
        <w:rPr>
          <w:rFonts w:cs="Times New Roman" w:ascii="Times New Roman" w:hAnsi="Times New Roman"/>
          <w:sz w:val="26"/>
          <w:szCs w:val="26"/>
          <w:lang w:val="en-US"/>
        </w:rPr>
        <w:t>Perception</w:t>
      </w:r>
      <w:r>
        <w:rPr>
          <w:rFonts w:cs="Times New Roman" w:ascii="Times New Roman" w:hAnsi="Times New Roman"/>
          <w:sz w:val="26"/>
          <w:szCs w:val="26"/>
        </w:rPr>
        <w:t xml:space="preserve"> 220 (</w:t>
      </w:r>
      <w:r>
        <w:rPr>
          <w:rFonts w:cs="Times New Roman" w:ascii="Times New Roman" w:hAnsi="Times New Roman"/>
          <w:sz w:val="26"/>
          <w:szCs w:val="26"/>
          <w:lang w:val="en-US"/>
        </w:rPr>
        <w:t>P</w:t>
      </w:r>
      <w:r>
        <w:rPr>
          <w:rFonts w:cs="Times New Roman" w:ascii="Times New Roman" w:hAnsi="Times New Roman"/>
          <w:sz w:val="26"/>
          <w:szCs w:val="26"/>
        </w:rPr>
        <w:t xml:space="preserve">220); поз. Радиосистема </w:t>
      </w:r>
      <w:r>
        <w:rPr>
          <w:rFonts w:cs="Times New Roman" w:ascii="Times New Roman" w:hAnsi="Times New Roman"/>
          <w:sz w:val="26"/>
          <w:szCs w:val="26"/>
          <w:lang w:val="en-US"/>
        </w:rPr>
        <w:t>DDM</w:t>
      </w:r>
      <w:r>
        <w:rPr>
          <w:rFonts w:cs="Times New Roman" w:ascii="Times New Roman" w:hAnsi="Times New Roman"/>
          <w:sz w:val="26"/>
          <w:szCs w:val="26"/>
        </w:rPr>
        <w:t xml:space="preserve"> </w:t>
      </w:r>
      <w:r>
        <w:rPr>
          <w:rFonts w:cs="Times New Roman" w:ascii="Times New Roman" w:hAnsi="Times New Roman"/>
          <w:sz w:val="26"/>
          <w:szCs w:val="26"/>
          <w:lang w:val="en-US"/>
        </w:rPr>
        <w:t>Sound</w:t>
      </w:r>
      <w:r>
        <w:rPr>
          <w:rFonts w:cs="Times New Roman" w:ascii="Times New Roman" w:hAnsi="Times New Roman"/>
          <w:sz w:val="26"/>
          <w:szCs w:val="26"/>
        </w:rPr>
        <w:t xml:space="preserve"> </w:t>
      </w:r>
      <w:r>
        <w:rPr>
          <w:rFonts w:cs="Times New Roman" w:ascii="Times New Roman" w:hAnsi="Times New Roman"/>
          <w:sz w:val="26"/>
          <w:szCs w:val="26"/>
          <w:lang w:val="en-US"/>
        </w:rPr>
        <w:t>R</w:t>
      </w:r>
      <w:r>
        <w:rPr>
          <w:rFonts w:cs="Times New Roman" w:ascii="Times New Roman" w:hAnsi="Times New Roman"/>
          <w:sz w:val="26"/>
          <w:szCs w:val="26"/>
        </w:rPr>
        <w:t xml:space="preserve">4, </w:t>
      </w:r>
      <w:r>
        <w:rPr>
          <w:rFonts w:cs="Times New Roman" w:ascii="Times New Roman" w:hAnsi="Times New Roman"/>
          <w:sz w:val="26"/>
          <w:szCs w:val="26"/>
          <w:lang w:val="en-US"/>
        </w:rPr>
        <w:t>Arthur</w:t>
      </w:r>
      <w:r>
        <w:rPr>
          <w:rFonts w:cs="Times New Roman" w:ascii="Times New Roman" w:hAnsi="Times New Roman"/>
          <w:sz w:val="26"/>
          <w:szCs w:val="26"/>
        </w:rPr>
        <w:t xml:space="preserve"> </w:t>
      </w:r>
      <w:r>
        <w:rPr>
          <w:rFonts w:cs="Times New Roman" w:ascii="Times New Roman" w:hAnsi="Times New Roman"/>
          <w:sz w:val="26"/>
          <w:szCs w:val="26"/>
          <w:lang w:val="en-US"/>
        </w:rPr>
        <w:t>Forty</w:t>
      </w:r>
      <w:r>
        <w:rPr>
          <w:rFonts w:cs="Times New Roman" w:ascii="Times New Roman" w:hAnsi="Times New Roman"/>
          <w:sz w:val="26"/>
          <w:szCs w:val="26"/>
        </w:rPr>
        <w:t xml:space="preserve"> </w:t>
      </w:r>
      <w:r>
        <w:rPr>
          <w:rFonts w:cs="Times New Roman" w:ascii="Times New Roman" w:hAnsi="Times New Roman"/>
          <w:sz w:val="26"/>
          <w:szCs w:val="26"/>
          <w:lang w:val="en-US"/>
        </w:rPr>
        <w:t>U</w:t>
      </w:r>
      <w:r>
        <w:rPr>
          <w:rFonts w:cs="Times New Roman" w:ascii="Times New Roman" w:hAnsi="Times New Roman"/>
          <w:sz w:val="26"/>
          <w:szCs w:val="26"/>
        </w:rPr>
        <w:t>-404</w:t>
      </w:r>
      <w:r>
        <w:rPr>
          <w:rFonts w:cs="Times New Roman" w:ascii="Times New Roman" w:hAnsi="Times New Roman"/>
          <w:sz w:val="26"/>
          <w:szCs w:val="26"/>
          <w:lang w:val="en-US"/>
        </w:rPr>
        <w:t>C</w:t>
      </w:r>
      <w:r>
        <w:rPr>
          <w:rFonts w:cs="Times New Roman" w:ascii="Times New Roman" w:hAnsi="Times New Roman"/>
          <w:sz w:val="26"/>
          <w:szCs w:val="26"/>
        </w:rPr>
        <w:t xml:space="preserve">; поз. Акустическая система </w:t>
      </w:r>
      <w:r>
        <w:rPr>
          <w:rFonts w:cs="Times New Roman" w:ascii="Times New Roman" w:hAnsi="Times New Roman"/>
          <w:sz w:val="26"/>
          <w:szCs w:val="26"/>
          <w:lang w:val="en-US"/>
        </w:rPr>
        <w:t>Behringer</w:t>
      </w:r>
      <w:r>
        <w:rPr>
          <w:rFonts w:cs="Times New Roman" w:ascii="Times New Roman" w:hAnsi="Times New Roman"/>
          <w:sz w:val="26"/>
          <w:szCs w:val="26"/>
        </w:rPr>
        <w:t xml:space="preserve"> </w:t>
      </w:r>
      <w:r>
        <w:rPr>
          <w:rFonts w:cs="Times New Roman" w:ascii="Times New Roman" w:hAnsi="Times New Roman"/>
          <w:sz w:val="26"/>
          <w:szCs w:val="26"/>
          <w:lang w:val="en-US"/>
        </w:rPr>
        <w:t>B</w:t>
      </w:r>
      <w:r>
        <w:rPr>
          <w:rFonts w:cs="Times New Roman" w:ascii="Times New Roman" w:hAnsi="Times New Roman"/>
          <w:sz w:val="26"/>
          <w:szCs w:val="26"/>
        </w:rPr>
        <w:t>615</w:t>
      </w:r>
      <w:r>
        <w:rPr>
          <w:rFonts w:cs="Times New Roman" w:ascii="Times New Roman" w:hAnsi="Times New Roman"/>
          <w:sz w:val="26"/>
          <w:szCs w:val="26"/>
          <w:lang w:val="en-US"/>
        </w:rPr>
        <w:t>D</w:t>
      </w:r>
      <w:r>
        <w:rPr>
          <w:rFonts w:cs="Times New Roman" w:ascii="Times New Roman" w:hAnsi="Times New Roman"/>
          <w:sz w:val="26"/>
          <w:szCs w:val="26"/>
        </w:rPr>
        <w:t xml:space="preserve">, </w:t>
      </w:r>
      <w:r>
        <w:rPr>
          <w:rFonts w:cs="Times New Roman" w:ascii="Times New Roman" w:hAnsi="Times New Roman"/>
          <w:sz w:val="26"/>
          <w:szCs w:val="26"/>
          <w:lang w:val="en-US"/>
        </w:rPr>
        <w:t>Audiocenter</w:t>
      </w:r>
      <w:r>
        <w:rPr>
          <w:rFonts w:cs="Times New Roman" w:ascii="Times New Roman" w:hAnsi="Times New Roman"/>
          <w:sz w:val="26"/>
          <w:szCs w:val="26"/>
        </w:rPr>
        <w:t xml:space="preserve"> </w:t>
      </w:r>
      <w:r>
        <w:rPr>
          <w:rFonts w:cs="Times New Roman" w:ascii="Times New Roman" w:hAnsi="Times New Roman"/>
          <w:sz w:val="26"/>
          <w:szCs w:val="26"/>
          <w:lang w:val="en-US"/>
        </w:rPr>
        <w:t>SA</w:t>
      </w:r>
      <w:r>
        <w:rPr>
          <w:rFonts w:cs="Times New Roman" w:ascii="Times New Roman" w:hAnsi="Times New Roman"/>
          <w:sz w:val="26"/>
          <w:szCs w:val="26"/>
        </w:rPr>
        <w:t xml:space="preserve">315; поз. Микшерный пульт </w:t>
      </w:r>
      <w:r>
        <w:rPr>
          <w:rFonts w:cs="Times New Roman" w:ascii="Times New Roman" w:hAnsi="Times New Roman"/>
          <w:sz w:val="26"/>
          <w:szCs w:val="26"/>
          <w:lang w:val="en-US"/>
        </w:rPr>
        <w:t>Behringer</w:t>
      </w:r>
      <w:r>
        <w:rPr>
          <w:rFonts w:cs="Times New Roman" w:ascii="Times New Roman" w:hAnsi="Times New Roman"/>
          <w:sz w:val="26"/>
          <w:szCs w:val="26"/>
        </w:rPr>
        <w:t xml:space="preserve"> Х32, </w:t>
      </w:r>
      <w:r>
        <w:rPr>
          <w:rFonts w:cs="Times New Roman" w:ascii="Times New Roman" w:hAnsi="Times New Roman"/>
          <w:sz w:val="26"/>
          <w:szCs w:val="26"/>
          <w:lang w:val="en-US"/>
        </w:rPr>
        <w:t>Midas</w:t>
      </w:r>
      <w:r>
        <w:rPr>
          <w:rFonts w:cs="Times New Roman" w:ascii="Times New Roman" w:hAnsi="Times New Roman"/>
          <w:sz w:val="26"/>
          <w:szCs w:val="26"/>
        </w:rPr>
        <w:t xml:space="preserve"> </w:t>
      </w:r>
      <w:r>
        <w:rPr>
          <w:rFonts w:cs="Times New Roman" w:ascii="Times New Roman" w:hAnsi="Times New Roman"/>
          <w:sz w:val="26"/>
          <w:szCs w:val="26"/>
          <w:lang w:val="en-US"/>
        </w:rPr>
        <w:t>M</w:t>
      </w:r>
      <w:r>
        <w:rPr>
          <w:rFonts w:cs="Times New Roman" w:ascii="Times New Roman" w:hAnsi="Times New Roman"/>
          <w:sz w:val="26"/>
          <w:szCs w:val="26"/>
        </w:rPr>
        <w:t xml:space="preserve">32 </w:t>
      </w:r>
      <w:r>
        <w:rPr>
          <w:rFonts w:cs="Times New Roman" w:ascii="Times New Roman" w:hAnsi="Times New Roman"/>
          <w:sz w:val="26"/>
          <w:szCs w:val="26"/>
          <w:lang w:val="en-US"/>
        </w:rPr>
        <w:t>Live</w:t>
      </w:r>
      <w:r>
        <w:rPr>
          <w:rFonts w:cs="Times New Roman" w:ascii="Times New Roman" w:hAnsi="Times New Roman"/>
          <w:sz w:val="26"/>
          <w:szCs w:val="26"/>
        </w:rPr>
        <w:t xml:space="preserve">; поз. Подставка для микрофона </w:t>
      </w:r>
      <w:r>
        <w:rPr>
          <w:rFonts w:cs="Times New Roman" w:ascii="Times New Roman" w:hAnsi="Times New Roman"/>
          <w:sz w:val="26"/>
          <w:szCs w:val="26"/>
          <w:lang w:val="en-US"/>
        </w:rPr>
        <w:t>Tempo</w:t>
      </w:r>
      <w:r>
        <w:rPr>
          <w:rFonts w:cs="Times New Roman" w:ascii="Times New Roman" w:hAnsi="Times New Roman"/>
          <w:sz w:val="26"/>
          <w:szCs w:val="26"/>
        </w:rPr>
        <w:t xml:space="preserve"> </w:t>
      </w:r>
      <w:r>
        <w:rPr>
          <w:rFonts w:cs="Times New Roman" w:ascii="Times New Roman" w:hAnsi="Times New Roman"/>
          <w:sz w:val="26"/>
          <w:szCs w:val="26"/>
          <w:lang w:val="en-US"/>
        </w:rPr>
        <w:t>MS</w:t>
      </w:r>
      <w:r>
        <w:rPr>
          <w:rFonts w:cs="Times New Roman" w:ascii="Times New Roman" w:hAnsi="Times New Roman"/>
          <w:sz w:val="26"/>
          <w:szCs w:val="26"/>
        </w:rPr>
        <w:t xml:space="preserve">100, </w:t>
      </w:r>
      <w:r>
        <w:rPr>
          <w:rFonts w:cs="Times New Roman" w:ascii="Times New Roman" w:hAnsi="Times New Roman"/>
          <w:sz w:val="26"/>
          <w:szCs w:val="26"/>
          <w:lang w:val="en-US"/>
        </w:rPr>
        <w:t>K</w:t>
      </w:r>
      <w:r>
        <w:rPr>
          <w:rFonts w:cs="Times New Roman" w:ascii="Times New Roman" w:hAnsi="Times New Roman"/>
          <w:sz w:val="26"/>
          <w:szCs w:val="26"/>
        </w:rPr>
        <w:t>&amp;</w:t>
      </w:r>
      <w:r>
        <w:rPr>
          <w:rFonts w:cs="Times New Roman" w:ascii="Times New Roman" w:hAnsi="Times New Roman"/>
          <w:sz w:val="26"/>
          <w:szCs w:val="26"/>
          <w:lang w:val="en-US"/>
        </w:rPr>
        <w:t>M</w:t>
      </w:r>
      <w:r>
        <w:rPr>
          <w:rFonts w:cs="Times New Roman" w:ascii="Times New Roman" w:hAnsi="Times New Roman"/>
          <w:sz w:val="26"/>
          <w:szCs w:val="26"/>
        </w:rPr>
        <w:t xml:space="preserve"> 25400-300-55; поз. Сабвуфер </w:t>
      </w:r>
      <w:r>
        <w:rPr>
          <w:rFonts w:cs="Times New Roman" w:ascii="Times New Roman" w:hAnsi="Times New Roman"/>
          <w:sz w:val="26"/>
          <w:szCs w:val="26"/>
          <w:lang w:val="en-US"/>
        </w:rPr>
        <w:t>Behringer</w:t>
      </w:r>
      <w:r>
        <w:rPr>
          <w:rFonts w:cs="Times New Roman" w:ascii="Times New Roman" w:hAnsi="Times New Roman"/>
          <w:sz w:val="26"/>
          <w:szCs w:val="26"/>
        </w:rPr>
        <w:t xml:space="preserve"> В1800Х</w:t>
      </w:r>
      <w:r>
        <w:rPr>
          <w:rFonts w:cs="Times New Roman" w:ascii="Times New Roman" w:hAnsi="Times New Roman"/>
          <w:sz w:val="26"/>
          <w:szCs w:val="26"/>
          <w:lang w:val="en-US"/>
        </w:rPr>
        <w:t>P</w:t>
      </w:r>
      <w:r>
        <w:rPr>
          <w:rFonts w:cs="Times New Roman" w:ascii="Times New Roman" w:hAnsi="Times New Roman"/>
          <w:sz w:val="26"/>
          <w:szCs w:val="26"/>
        </w:rPr>
        <w:t xml:space="preserve">, </w:t>
      </w:r>
      <w:r>
        <w:rPr>
          <w:rFonts w:cs="Times New Roman" w:ascii="Times New Roman" w:hAnsi="Times New Roman"/>
          <w:sz w:val="26"/>
          <w:szCs w:val="26"/>
          <w:lang w:val="en-US"/>
        </w:rPr>
        <w:t>Turbosound</w:t>
      </w:r>
      <w:r>
        <w:rPr>
          <w:rFonts w:cs="Times New Roman" w:ascii="Times New Roman" w:hAnsi="Times New Roman"/>
          <w:sz w:val="26"/>
          <w:szCs w:val="26"/>
        </w:rPr>
        <w:t xml:space="preserve"> </w:t>
      </w:r>
      <w:r>
        <w:rPr>
          <w:rFonts w:cs="Times New Roman" w:ascii="Times New Roman" w:hAnsi="Times New Roman"/>
          <w:sz w:val="26"/>
          <w:szCs w:val="26"/>
          <w:lang w:val="en-US"/>
        </w:rPr>
        <w:t>iQ</w:t>
      </w:r>
      <w:r>
        <w:rPr>
          <w:rFonts w:cs="Times New Roman" w:ascii="Times New Roman" w:hAnsi="Times New Roman"/>
          <w:sz w:val="26"/>
          <w:szCs w:val="26"/>
        </w:rPr>
        <w:t>18</w:t>
      </w:r>
      <w:r>
        <w:rPr>
          <w:rFonts w:cs="Times New Roman" w:ascii="Times New Roman" w:hAnsi="Times New Roman"/>
          <w:sz w:val="26"/>
          <w:szCs w:val="26"/>
          <w:lang w:val="en-US"/>
        </w:rPr>
        <w:t>B</w:t>
      </w:r>
      <w:r>
        <w:rPr>
          <w:rFonts w:cs="Times New Roman" w:ascii="Times New Roman" w:hAnsi="Times New Roman"/>
          <w:sz w:val="26"/>
          <w:szCs w:val="26"/>
        </w:rPr>
        <w:t>.</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Комиссия отмечает, что характеристики, размещенные на сайте, могут быть неактуальными. Требований о соответствии товара характеристикам, размещенным на сайте, Закон о контрактной системе не содержит. Кроме того, наименование характеристик по КТРУ может отличаться от наименований характеристик, применяемых производителями товаров. Участники закупок при подаче заявок не лишены возможности направлять запросы производителю (официальному представителю) о наличии характеристик в предлагаемом товаре.</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Установлено, что при описании использовались характеристики из КТРУ. Исходя из позиции Министерства финансов РФ (письмо от 20.01.2020 №24-06-07/2484) для целей описания товаров (работ, услуг) применяются следующие базовые принципы: максимально возможное расширение  количества производителей, продукцию которых возможно поставить в рамках сформированных позиций каталога, при формировании позиций осуществляется проверка о наличии двух и более производителей, отвечающих заданным характеристикам товара.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Кроме того, в силу ч.3 ст.94 Закона о контрактной системе для проверки предоставленных поставщиком (подрядчиком, исполнителем) результатов, предусмотренных контрактов, в части их соответствия условиям контракта заказчик обязан провести экспертизу. </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1"/>
        </w:numPr>
        <w:spacing w:lineRule="auto" w:line="24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Признать жалобу ИП Пономарева М.Д. необоснованной. </w:t>
      </w:r>
    </w:p>
    <w:p>
      <w:pPr>
        <w:pStyle w:val="ListParagraph"/>
        <w:widowControl w:val="false"/>
        <w:numPr>
          <w:ilvl w:val="0"/>
          <w:numId w:val="1"/>
        </w:numPr>
        <w:spacing w:lineRule="auto" w:line="24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Отменить приостановление определения поставщика (подрядчика, исполнителя) в части подписания контракта (извещение № 0818600006124000128).</w:t>
      </w:r>
    </w:p>
    <w:p>
      <w:pPr>
        <w:pStyle w:val="ListParagraph"/>
        <w:widowControl w:val="false"/>
        <w:numPr>
          <w:ilvl w:val="0"/>
          <w:numId w:val="1"/>
        </w:numPr>
        <w:spacing w:lineRule="auto" w:line="24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Указать ИП Пономареву М.Д. о праве на подачу заявления в органы внутреннего муниципального контроля МО Отрадненский район для проведения проверки в части соответствия поставленного товара условиям контракта.</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4"/>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12">
    <w:name w:val="Заголовок"/>
    <w:basedOn w:val="Normal"/>
    <w:next w:val="Style13"/>
    <w:qFormat/>
    <w:pPr>
      <w:keepNext w:val="true"/>
      <w:spacing w:before="240" w:after="120"/>
    </w:pPr>
    <w:rPr>
      <w:rFonts w:ascii="Liberation Sans" w:hAnsi="Liberation Sans" w:eastAsia="Microsoft YaHei" w:cs="Lucida Sans"/>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Lucida Sans"/>
    </w:rPr>
  </w:style>
  <w:style w:type="paragraph" w:styleId="Style15">
    <w:name w:val="Caption"/>
    <w:basedOn w:val="Normal"/>
    <w:qFormat/>
    <w:pPr>
      <w:suppressLineNumbers/>
      <w:spacing w:before="120" w:after="120"/>
    </w:pPr>
    <w:rPr>
      <w:rFonts w:cs="Lucida Sans"/>
      <w:i/>
      <w:iCs/>
      <w:sz w:val="24"/>
      <w:szCs w:val="24"/>
    </w:rPr>
  </w:style>
  <w:style w:type="paragraph" w:styleId="Style16">
    <w:name w:val="Указатель"/>
    <w:basedOn w:val="Normal"/>
    <w:qFormat/>
    <w:pPr>
      <w:suppressLineNumbers/>
    </w:pPr>
    <w:rPr>
      <w:rFonts w:cs="Lucida Sans"/>
      <w:lang w:val="zxx" w:eastAsia="zxx" w:bidi="zxx"/>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CAE88-B9DC-4882-B979-AF372A8D5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Application>LibreOffice/7.2.5.2$Windows_X86_64 LibreOffice_project/499f9727c189e6ef3471021d6132d4c694f357e5</Application>
  <AppVersion>15.0000</AppVersion>
  <Pages>6</Pages>
  <Words>1517</Words>
  <Characters>11405</Characters>
  <CharactersWithSpaces>12979</CharactersWithSpaces>
  <Paragraphs>43</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2024-12-10T19:37:24Z</dcterms:modified>
  <cp:revision>736</cp:revision>
  <dc:subject/>
  <dc:title/>
</cp:coreProperties>
</file>

<file path=docProps/custom.xml><?xml version="1.0" encoding="utf-8"?>
<Properties xmlns="http://schemas.openxmlformats.org/officeDocument/2006/custom-properties" xmlns:vt="http://schemas.openxmlformats.org/officeDocument/2006/docPropsVTypes"/>
</file>