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16F2" w:rsidRDefault="005616F2" w:rsidP="005616F2">
      <w:pPr>
        <w:keepNext/>
        <w:tabs>
          <w:tab w:val="left" w:pos="8124"/>
        </w:tabs>
        <w:ind w:left="4820"/>
        <w:contextualSpacing/>
        <w:rPr>
          <w:b/>
          <w:color w:val="000000" w:themeColor="text1"/>
          <w:sz w:val="24"/>
          <w:szCs w:val="24"/>
          <w:lang w:eastAsia="ar-SA"/>
        </w:rPr>
      </w:pPr>
      <w:r>
        <w:rPr>
          <w:b/>
          <w:color w:val="000000" w:themeColor="text1"/>
          <w:sz w:val="24"/>
          <w:szCs w:val="24"/>
          <w:lang w:eastAsia="ar-SA"/>
        </w:rPr>
        <w:t>Общество с ограниченной ответственностью «ЭКОЛИНАС»</w:t>
      </w:r>
    </w:p>
    <w:p w:rsidR="005616F2" w:rsidRDefault="005616F2" w:rsidP="005616F2">
      <w:pPr>
        <w:keepNext/>
        <w:tabs>
          <w:tab w:val="left" w:pos="8124"/>
        </w:tabs>
        <w:ind w:left="4820"/>
        <w:contextualSpacing/>
        <w:rPr>
          <w:color w:val="000000" w:themeColor="text1"/>
          <w:sz w:val="24"/>
          <w:szCs w:val="24"/>
          <w:lang w:eastAsia="ar-SA"/>
        </w:rPr>
      </w:pPr>
      <w:r>
        <w:rPr>
          <w:color w:val="000000" w:themeColor="text1"/>
          <w:sz w:val="24"/>
          <w:szCs w:val="24"/>
          <w:lang w:eastAsia="ar-SA"/>
        </w:rPr>
        <w:t>125040, город Москва, Расковой пер., д. 24, кв. 40</w:t>
      </w:r>
      <w:r>
        <w:rPr>
          <w:color w:val="000000" w:themeColor="text1"/>
          <w:sz w:val="24"/>
          <w:szCs w:val="24"/>
          <w:lang w:eastAsia="ar-SA"/>
        </w:rPr>
        <w:tab/>
      </w:r>
    </w:p>
    <w:p w:rsidR="005616F2" w:rsidRDefault="005616F2" w:rsidP="005616F2">
      <w:pPr>
        <w:keepNext/>
        <w:tabs>
          <w:tab w:val="left" w:pos="8124"/>
        </w:tabs>
        <w:ind w:left="4820"/>
        <w:contextualSpacing/>
        <w:rPr>
          <w:color w:val="000000" w:themeColor="text1"/>
          <w:sz w:val="24"/>
          <w:szCs w:val="24"/>
          <w:lang w:eastAsia="ar-SA"/>
        </w:rPr>
      </w:pPr>
      <w:hyperlink r:id="rId4" w:history="1">
        <w:r>
          <w:rPr>
            <w:rStyle w:val="a3"/>
            <w:color w:val="0563C1" w:themeColor="hyperlink"/>
            <w:sz w:val="24"/>
            <w:szCs w:val="24"/>
            <w:lang w:eastAsia="ar-SA"/>
          </w:rPr>
          <w:t>ecolinastorg@yandex.ru</w:t>
        </w:r>
      </w:hyperlink>
    </w:p>
    <w:p w:rsidR="005616F2" w:rsidRDefault="005616F2" w:rsidP="005616F2">
      <w:pPr>
        <w:keepNext/>
        <w:tabs>
          <w:tab w:val="left" w:pos="8124"/>
        </w:tabs>
        <w:ind w:left="4820"/>
        <w:contextualSpacing/>
        <w:rPr>
          <w:color w:val="000000" w:themeColor="text1"/>
          <w:sz w:val="24"/>
          <w:szCs w:val="24"/>
          <w:lang w:eastAsia="ar-SA"/>
        </w:rPr>
      </w:pPr>
      <w:hyperlink r:id="rId5" w:history="1">
        <w:r>
          <w:rPr>
            <w:rStyle w:val="a3"/>
            <w:color w:val="0563C1" w:themeColor="hyperlink"/>
            <w:sz w:val="24"/>
            <w:szCs w:val="24"/>
            <w:lang w:eastAsia="ar-SA"/>
          </w:rPr>
          <w:t>rudakova@brifgroup.ru</w:t>
        </w:r>
      </w:hyperlink>
    </w:p>
    <w:p w:rsidR="005616F2" w:rsidRDefault="005616F2" w:rsidP="005616F2">
      <w:pPr>
        <w:keepNext/>
        <w:tabs>
          <w:tab w:val="left" w:pos="8124"/>
        </w:tabs>
        <w:ind w:left="4820"/>
        <w:contextualSpacing/>
        <w:rPr>
          <w:b/>
          <w:color w:val="000000" w:themeColor="text1"/>
          <w:sz w:val="24"/>
          <w:szCs w:val="24"/>
          <w:highlight w:val="yellow"/>
          <w:lang w:eastAsia="ar-SA"/>
        </w:rPr>
      </w:pPr>
    </w:p>
    <w:p w:rsidR="005616F2" w:rsidRDefault="005616F2" w:rsidP="005616F2">
      <w:pPr>
        <w:keepNext/>
        <w:tabs>
          <w:tab w:val="left" w:pos="8124"/>
        </w:tabs>
        <w:ind w:left="4820"/>
        <w:contextualSpacing/>
        <w:rPr>
          <w:b/>
          <w:color w:val="000000" w:themeColor="text1"/>
          <w:sz w:val="24"/>
          <w:szCs w:val="24"/>
          <w:lang w:eastAsia="ar-SA"/>
        </w:rPr>
      </w:pPr>
      <w:r>
        <w:rPr>
          <w:b/>
          <w:bCs/>
          <w:color w:val="000000" w:themeColor="text1"/>
          <w:sz w:val="24"/>
          <w:szCs w:val="24"/>
          <w:lang w:eastAsia="ar-SA"/>
        </w:rPr>
        <w:t>Государственное</w:t>
      </w:r>
      <w:r>
        <w:rPr>
          <w:b/>
          <w:color w:val="000000" w:themeColor="text1"/>
          <w:sz w:val="24"/>
          <w:szCs w:val="24"/>
          <w:lang w:eastAsia="ar-SA"/>
        </w:rPr>
        <w:t> </w:t>
      </w:r>
      <w:r>
        <w:rPr>
          <w:b/>
          <w:bCs/>
          <w:color w:val="000000" w:themeColor="text1"/>
          <w:sz w:val="24"/>
          <w:szCs w:val="24"/>
          <w:lang w:eastAsia="ar-SA"/>
        </w:rPr>
        <w:t>учреждение</w:t>
      </w:r>
      <w:r>
        <w:rPr>
          <w:b/>
          <w:color w:val="000000" w:themeColor="text1"/>
          <w:sz w:val="24"/>
          <w:szCs w:val="24"/>
          <w:lang w:eastAsia="ar-SA"/>
        </w:rPr>
        <w:t> </w:t>
      </w:r>
      <w:r>
        <w:rPr>
          <w:b/>
          <w:bCs/>
          <w:color w:val="000000" w:themeColor="text1"/>
          <w:sz w:val="24"/>
          <w:szCs w:val="24"/>
          <w:lang w:eastAsia="ar-SA"/>
        </w:rPr>
        <w:t>здравоохранения</w:t>
      </w:r>
      <w:r>
        <w:rPr>
          <w:b/>
          <w:color w:val="000000" w:themeColor="text1"/>
          <w:sz w:val="24"/>
          <w:szCs w:val="24"/>
          <w:lang w:eastAsia="ar-SA"/>
        </w:rPr>
        <w:t> </w:t>
      </w:r>
      <w:r>
        <w:rPr>
          <w:b/>
          <w:bCs/>
          <w:color w:val="000000" w:themeColor="text1"/>
          <w:sz w:val="24"/>
          <w:szCs w:val="24"/>
          <w:lang w:eastAsia="ar-SA"/>
        </w:rPr>
        <w:t>Ярославской</w:t>
      </w:r>
      <w:r>
        <w:rPr>
          <w:b/>
          <w:color w:val="000000" w:themeColor="text1"/>
          <w:sz w:val="24"/>
          <w:szCs w:val="24"/>
          <w:lang w:eastAsia="ar-SA"/>
        </w:rPr>
        <w:t> </w:t>
      </w:r>
      <w:r>
        <w:rPr>
          <w:b/>
          <w:bCs/>
          <w:color w:val="000000" w:themeColor="text1"/>
          <w:sz w:val="24"/>
          <w:szCs w:val="24"/>
          <w:lang w:eastAsia="ar-SA"/>
        </w:rPr>
        <w:t>области</w:t>
      </w:r>
      <w:r>
        <w:rPr>
          <w:b/>
          <w:color w:val="000000" w:themeColor="text1"/>
          <w:sz w:val="24"/>
          <w:szCs w:val="24"/>
          <w:lang w:eastAsia="ar-SA"/>
        </w:rPr>
        <w:t> "</w:t>
      </w:r>
      <w:r>
        <w:rPr>
          <w:b/>
          <w:bCs/>
          <w:color w:val="000000" w:themeColor="text1"/>
          <w:sz w:val="24"/>
          <w:szCs w:val="24"/>
          <w:lang w:eastAsia="ar-SA"/>
        </w:rPr>
        <w:t>Детская</w:t>
      </w:r>
      <w:r>
        <w:rPr>
          <w:b/>
          <w:color w:val="000000" w:themeColor="text1"/>
          <w:sz w:val="24"/>
          <w:szCs w:val="24"/>
          <w:lang w:eastAsia="ar-SA"/>
        </w:rPr>
        <w:t> </w:t>
      </w:r>
      <w:r>
        <w:rPr>
          <w:b/>
          <w:bCs/>
          <w:color w:val="000000" w:themeColor="text1"/>
          <w:sz w:val="24"/>
          <w:szCs w:val="24"/>
          <w:lang w:eastAsia="ar-SA"/>
        </w:rPr>
        <w:t>поликлиника</w:t>
      </w:r>
      <w:r>
        <w:rPr>
          <w:b/>
          <w:color w:val="000000" w:themeColor="text1"/>
          <w:sz w:val="24"/>
          <w:szCs w:val="24"/>
          <w:lang w:eastAsia="ar-SA"/>
        </w:rPr>
        <w:t> </w:t>
      </w:r>
      <w:r>
        <w:rPr>
          <w:b/>
          <w:bCs/>
          <w:color w:val="000000" w:themeColor="text1"/>
          <w:sz w:val="24"/>
          <w:szCs w:val="24"/>
          <w:lang w:eastAsia="ar-SA"/>
        </w:rPr>
        <w:t>№</w:t>
      </w:r>
      <w:r>
        <w:rPr>
          <w:b/>
          <w:color w:val="000000" w:themeColor="text1"/>
          <w:sz w:val="24"/>
          <w:szCs w:val="24"/>
          <w:lang w:eastAsia="ar-SA"/>
        </w:rPr>
        <w:t> </w:t>
      </w:r>
      <w:r>
        <w:rPr>
          <w:b/>
          <w:bCs/>
          <w:color w:val="000000" w:themeColor="text1"/>
          <w:sz w:val="24"/>
          <w:szCs w:val="24"/>
          <w:lang w:eastAsia="ar-SA"/>
        </w:rPr>
        <w:t>5</w:t>
      </w:r>
      <w:r>
        <w:rPr>
          <w:b/>
          <w:color w:val="000000" w:themeColor="text1"/>
          <w:sz w:val="24"/>
          <w:szCs w:val="24"/>
          <w:lang w:eastAsia="ar-SA"/>
        </w:rPr>
        <w:t>"</w:t>
      </w:r>
    </w:p>
    <w:p w:rsidR="005616F2" w:rsidRDefault="005616F2" w:rsidP="005616F2">
      <w:pPr>
        <w:keepNext/>
        <w:tabs>
          <w:tab w:val="left" w:pos="8124"/>
        </w:tabs>
        <w:ind w:left="4820"/>
        <w:contextualSpacing/>
        <w:rPr>
          <w:color w:val="000000" w:themeColor="text1"/>
          <w:sz w:val="24"/>
          <w:szCs w:val="24"/>
          <w:lang w:eastAsia="ar-SA"/>
        </w:rPr>
      </w:pPr>
      <w:r>
        <w:rPr>
          <w:color w:val="000000" w:themeColor="text1"/>
          <w:sz w:val="24"/>
          <w:szCs w:val="24"/>
          <w:lang w:eastAsia="ar-SA"/>
        </w:rPr>
        <w:t>150055, Ярославская область, город Ярославль, пр-кт Машиностроителей, д.20</w:t>
      </w:r>
    </w:p>
    <w:p w:rsidR="005616F2" w:rsidRDefault="005616F2" w:rsidP="005616F2">
      <w:pPr>
        <w:keepNext/>
        <w:tabs>
          <w:tab w:val="left" w:pos="8124"/>
        </w:tabs>
        <w:ind w:left="4820"/>
        <w:contextualSpacing/>
        <w:rPr>
          <w:color w:val="000000" w:themeColor="text1"/>
          <w:sz w:val="28"/>
          <w:szCs w:val="24"/>
          <w:lang w:eastAsia="ar-SA"/>
        </w:rPr>
      </w:pPr>
      <w:r>
        <w:rPr>
          <w:rFonts w:ascii="Roboto" w:eastAsiaTheme="minorHAnsi" w:hAnsi="Roboto" w:cstheme="minorBidi"/>
          <w:color w:val="000000" w:themeColor="text1"/>
          <w:sz w:val="24"/>
          <w:shd w:val="clear" w:color="auto" w:fill="FFFFFF"/>
        </w:rPr>
        <w:t>zakupki@dp5yar.ru</w:t>
      </w:r>
    </w:p>
    <w:p w:rsidR="005616F2" w:rsidRDefault="005616F2" w:rsidP="005616F2">
      <w:pPr>
        <w:keepNext/>
        <w:tabs>
          <w:tab w:val="left" w:pos="8124"/>
        </w:tabs>
        <w:ind w:left="4820"/>
        <w:contextualSpacing/>
        <w:rPr>
          <w:color w:val="000000" w:themeColor="text1"/>
          <w:sz w:val="24"/>
          <w:szCs w:val="24"/>
          <w:highlight w:val="yellow"/>
          <w:lang w:eastAsia="ar-SA"/>
        </w:rPr>
      </w:pPr>
    </w:p>
    <w:p w:rsidR="005616F2" w:rsidRDefault="005616F2" w:rsidP="005616F2">
      <w:pPr>
        <w:widowControl/>
        <w:ind w:left="4820"/>
        <w:contextualSpacing/>
        <w:rPr>
          <w:b/>
          <w:sz w:val="24"/>
          <w:szCs w:val="24"/>
          <w:lang w:eastAsia="ar-SA"/>
        </w:rPr>
      </w:pPr>
      <w:r>
        <w:rPr>
          <w:b/>
          <w:sz w:val="24"/>
          <w:szCs w:val="24"/>
          <w:lang w:eastAsia="ar-SA"/>
        </w:rPr>
        <w:t>АО «Сбербанк-АСТ»</w:t>
      </w:r>
    </w:p>
    <w:p w:rsidR="005616F2" w:rsidRDefault="005616F2" w:rsidP="005616F2">
      <w:pPr>
        <w:pStyle w:val="a4"/>
        <w:ind w:right="155" w:firstLine="709"/>
        <w:jc w:val="both"/>
        <w:rPr>
          <w:sz w:val="24"/>
          <w:szCs w:val="24"/>
          <w:highlight w:val="yellow"/>
        </w:rPr>
      </w:pPr>
    </w:p>
    <w:p w:rsidR="005616F2" w:rsidRDefault="005616F2" w:rsidP="005616F2">
      <w:pPr>
        <w:pStyle w:val="a4"/>
        <w:ind w:right="155" w:firstLine="709"/>
        <w:jc w:val="both"/>
        <w:rPr>
          <w:sz w:val="24"/>
          <w:szCs w:val="24"/>
          <w:highlight w:val="yellow"/>
        </w:rPr>
      </w:pPr>
    </w:p>
    <w:p w:rsidR="005616F2" w:rsidRDefault="005616F2" w:rsidP="005616F2">
      <w:pPr>
        <w:pStyle w:val="a4"/>
        <w:ind w:right="155" w:firstLine="709"/>
        <w:jc w:val="center"/>
        <w:rPr>
          <w:sz w:val="24"/>
          <w:szCs w:val="24"/>
        </w:rPr>
      </w:pPr>
      <w:r>
        <w:rPr>
          <w:sz w:val="24"/>
          <w:szCs w:val="24"/>
        </w:rPr>
        <w:t>РЕШЕНИЕ</w:t>
      </w:r>
    </w:p>
    <w:p w:rsidR="005616F2" w:rsidRDefault="005616F2" w:rsidP="005616F2">
      <w:pPr>
        <w:pStyle w:val="a4"/>
        <w:ind w:right="155" w:firstLine="709"/>
        <w:jc w:val="center"/>
        <w:rPr>
          <w:sz w:val="24"/>
          <w:szCs w:val="24"/>
        </w:rPr>
      </w:pPr>
      <w:proofErr w:type="gramStart"/>
      <w:r>
        <w:rPr>
          <w:sz w:val="24"/>
          <w:szCs w:val="24"/>
        </w:rPr>
        <w:t>по</w:t>
      </w:r>
      <w:proofErr w:type="gramEnd"/>
      <w:r>
        <w:rPr>
          <w:sz w:val="24"/>
          <w:szCs w:val="24"/>
        </w:rPr>
        <w:t xml:space="preserve"> делу № 076/06/106-1520/2024 </w:t>
      </w:r>
    </w:p>
    <w:p w:rsidR="005616F2" w:rsidRDefault="005616F2" w:rsidP="005616F2">
      <w:pPr>
        <w:pStyle w:val="a4"/>
        <w:ind w:right="155" w:firstLine="709"/>
        <w:jc w:val="center"/>
        <w:rPr>
          <w:sz w:val="24"/>
          <w:szCs w:val="24"/>
        </w:rPr>
      </w:pPr>
    </w:p>
    <w:p w:rsidR="005616F2" w:rsidRDefault="005616F2" w:rsidP="005616F2">
      <w:pPr>
        <w:pStyle w:val="a4"/>
        <w:ind w:right="155" w:firstLine="709"/>
        <w:rPr>
          <w:sz w:val="24"/>
          <w:szCs w:val="24"/>
        </w:rPr>
      </w:pPr>
      <w:r>
        <w:rPr>
          <w:sz w:val="24"/>
          <w:szCs w:val="24"/>
        </w:rPr>
        <w:t>Резолютивная часть решения объявлена 30 сентября 2024 года</w:t>
      </w:r>
    </w:p>
    <w:p w:rsidR="005616F2" w:rsidRDefault="005616F2" w:rsidP="005616F2">
      <w:pPr>
        <w:pStyle w:val="a4"/>
        <w:ind w:right="155" w:firstLine="709"/>
        <w:rPr>
          <w:sz w:val="24"/>
          <w:szCs w:val="24"/>
        </w:rPr>
      </w:pPr>
      <w:r>
        <w:rPr>
          <w:sz w:val="24"/>
          <w:szCs w:val="24"/>
        </w:rPr>
        <w:t>Решение изготовлено в полном объеме 03 октября 2024 года              г. Ярославль</w:t>
      </w:r>
    </w:p>
    <w:p w:rsidR="005616F2" w:rsidRDefault="005616F2" w:rsidP="005616F2">
      <w:pPr>
        <w:pStyle w:val="a4"/>
        <w:ind w:left="155" w:right="155" w:firstLine="568"/>
        <w:jc w:val="both"/>
        <w:rPr>
          <w:sz w:val="24"/>
          <w:szCs w:val="24"/>
          <w:highlight w:val="yellow"/>
        </w:rPr>
      </w:pPr>
    </w:p>
    <w:p w:rsidR="005616F2" w:rsidRDefault="005616F2" w:rsidP="005616F2">
      <w:pPr>
        <w:pStyle w:val="a4"/>
        <w:ind w:right="155" w:firstLine="696"/>
        <w:jc w:val="both"/>
        <w:rPr>
          <w:sz w:val="24"/>
          <w:szCs w:val="24"/>
        </w:rPr>
      </w:pPr>
      <w:r>
        <w:rPr>
          <w:sz w:val="24"/>
          <w:szCs w:val="24"/>
        </w:rPr>
        <w:t xml:space="preserve">Комиссия Межрегионального управления Федеральной антимонопольной службы по Ярославской области и Костромской области (Ярославское межрегиональное УФАС России) (далее также – Комиссия) в составе: председатель Комиссии – </w:t>
      </w:r>
      <w:r w:rsidR="00FF0F29">
        <w:rPr>
          <w:sz w:val="24"/>
          <w:szCs w:val="24"/>
        </w:rPr>
        <w:t>..</w:t>
      </w:r>
      <w:r>
        <w:rPr>
          <w:sz w:val="24"/>
          <w:szCs w:val="24"/>
        </w:rPr>
        <w:t xml:space="preserve">., члены Комиссии – </w:t>
      </w:r>
      <w:r w:rsidR="00FF0F29">
        <w:rPr>
          <w:sz w:val="24"/>
          <w:szCs w:val="24"/>
        </w:rPr>
        <w:t>..</w:t>
      </w:r>
      <w:r>
        <w:rPr>
          <w:sz w:val="24"/>
          <w:szCs w:val="24"/>
        </w:rPr>
        <w:t xml:space="preserve">., </w:t>
      </w:r>
      <w:r w:rsidR="00FF0F29">
        <w:rPr>
          <w:sz w:val="24"/>
          <w:szCs w:val="24"/>
        </w:rPr>
        <w:t>..</w:t>
      </w:r>
      <w:bookmarkStart w:id="0" w:name="_GoBack"/>
      <w:bookmarkEnd w:id="0"/>
      <w:r>
        <w:rPr>
          <w:sz w:val="24"/>
          <w:szCs w:val="24"/>
        </w:rPr>
        <w:t>.,</w:t>
      </w:r>
      <w:r>
        <w:t xml:space="preserve"> </w:t>
      </w:r>
    </w:p>
    <w:p w:rsidR="005616F2" w:rsidRDefault="005616F2" w:rsidP="005616F2">
      <w:pPr>
        <w:pStyle w:val="a4"/>
        <w:ind w:right="155" w:firstLine="696"/>
        <w:jc w:val="both"/>
        <w:rPr>
          <w:sz w:val="24"/>
          <w:szCs w:val="24"/>
        </w:rPr>
      </w:pPr>
      <w:proofErr w:type="gramStart"/>
      <w:r>
        <w:rPr>
          <w:sz w:val="24"/>
          <w:szCs w:val="24"/>
        </w:rPr>
        <w:t>с</w:t>
      </w:r>
      <w:proofErr w:type="gramEnd"/>
      <w:r>
        <w:rPr>
          <w:sz w:val="24"/>
          <w:szCs w:val="24"/>
        </w:rPr>
        <w:t xml:space="preserve"> участием:</w:t>
      </w:r>
    </w:p>
    <w:p w:rsidR="005616F2" w:rsidRDefault="005616F2" w:rsidP="005616F2">
      <w:pPr>
        <w:pStyle w:val="a4"/>
        <w:ind w:right="155" w:firstLine="696"/>
        <w:jc w:val="both"/>
        <w:rPr>
          <w:sz w:val="24"/>
          <w:szCs w:val="24"/>
        </w:rPr>
      </w:pPr>
      <w:proofErr w:type="gramStart"/>
      <w:r>
        <w:rPr>
          <w:sz w:val="24"/>
          <w:szCs w:val="24"/>
        </w:rPr>
        <w:t>заявитель</w:t>
      </w:r>
      <w:proofErr w:type="gramEnd"/>
      <w:r>
        <w:rPr>
          <w:sz w:val="24"/>
          <w:szCs w:val="24"/>
        </w:rPr>
        <w:t xml:space="preserve">, общество с ограниченной ответственностью «ЭКОЛИНАС» (заявитель, общество, ООО «ЭКОЛИНАС»), обеспечил участие в рассмотрении жалобы посредством видеоконференцсвязи представителя по доверенности </w:t>
      </w:r>
      <w:r w:rsidR="00FF0F29">
        <w:rPr>
          <w:sz w:val="24"/>
          <w:szCs w:val="24"/>
        </w:rPr>
        <w:t>…</w:t>
      </w:r>
      <w:r>
        <w:rPr>
          <w:sz w:val="24"/>
          <w:szCs w:val="24"/>
        </w:rPr>
        <w:t xml:space="preserve"> (до перерыва),</w:t>
      </w:r>
    </w:p>
    <w:p w:rsidR="005616F2" w:rsidRDefault="005616F2" w:rsidP="005616F2">
      <w:pPr>
        <w:pStyle w:val="a4"/>
        <w:ind w:right="155" w:firstLine="696"/>
        <w:jc w:val="both"/>
        <w:rPr>
          <w:sz w:val="24"/>
          <w:szCs w:val="24"/>
          <w:highlight w:val="yellow"/>
        </w:rPr>
      </w:pPr>
      <w:proofErr w:type="gramStart"/>
      <w:r>
        <w:rPr>
          <w:sz w:val="24"/>
          <w:szCs w:val="24"/>
        </w:rPr>
        <w:t>заказчик</w:t>
      </w:r>
      <w:proofErr w:type="gramEnd"/>
      <w:r>
        <w:rPr>
          <w:sz w:val="24"/>
          <w:szCs w:val="24"/>
        </w:rPr>
        <w:t>, Государственное бюджетное учреждение здравоохранения Ярославской области "Областная инфекционная клиническая больница"</w:t>
      </w:r>
      <w:r>
        <w:rPr>
          <w:bCs/>
          <w:sz w:val="24"/>
          <w:szCs w:val="24"/>
        </w:rPr>
        <w:t xml:space="preserve"> </w:t>
      </w:r>
      <w:r>
        <w:rPr>
          <w:sz w:val="24"/>
          <w:szCs w:val="24"/>
        </w:rPr>
        <w:t xml:space="preserve">(далее также – ГБУЗ ЯО "ОИКБ", заказчик), обеспечил участие в рассмотрении жалобы представителей по доверенности </w:t>
      </w:r>
      <w:r w:rsidR="00FF0F29">
        <w:rPr>
          <w:sz w:val="24"/>
          <w:szCs w:val="24"/>
        </w:rPr>
        <w:t>..</w:t>
      </w:r>
      <w:r>
        <w:rPr>
          <w:sz w:val="24"/>
          <w:szCs w:val="24"/>
        </w:rPr>
        <w:t>. (до перерыва),</w:t>
      </w:r>
    </w:p>
    <w:p w:rsidR="005616F2" w:rsidRDefault="005616F2" w:rsidP="005616F2">
      <w:pPr>
        <w:pStyle w:val="a4"/>
        <w:ind w:right="155" w:firstLine="696"/>
        <w:jc w:val="both"/>
        <w:rPr>
          <w:sz w:val="24"/>
          <w:szCs w:val="24"/>
        </w:rPr>
      </w:pPr>
      <w:proofErr w:type="gramStart"/>
      <w:r>
        <w:rPr>
          <w:sz w:val="24"/>
          <w:szCs w:val="24"/>
        </w:rPr>
        <w:t>оператор</w:t>
      </w:r>
      <w:proofErr w:type="gramEnd"/>
      <w:r>
        <w:rPr>
          <w:sz w:val="24"/>
          <w:szCs w:val="24"/>
        </w:rPr>
        <w:t xml:space="preserve"> электронной площадки, АО «Сбербанк-АСТ», участие в рассмотрении жалобы не обеспечил, о времени, дате и месте рассмотрения жалобы уведомлен надлежащим образом,</w:t>
      </w:r>
    </w:p>
    <w:p w:rsidR="005616F2" w:rsidRDefault="005616F2" w:rsidP="005616F2">
      <w:pPr>
        <w:pStyle w:val="a4"/>
        <w:ind w:right="155" w:firstLine="696"/>
        <w:jc w:val="both"/>
        <w:rPr>
          <w:sz w:val="24"/>
          <w:szCs w:val="24"/>
        </w:rPr>
      </w:pPr>
      <w:r>
        <w:rPr>
          <w:sz w:val="24"/>
          <w:szCs w:val="24"/>
        </w:rPr>
        <w:t>рассмотрев жалобу ООО «ЭКОЛИНАС»</w:t>
      </w:r>
      <w:r>
        <w:t xml:space="preserve"> </w:t>
      </w:r>
      <w:r>
        <w:rPr>
          <w:sz w:val="24"/>
          <w:szCs w:val="24"/>
        </w:rPr>
        <w:t>на действия комиссии по осуществлению закупок заказчика, ГУЗ ЯО «Детская поликлиника № 5», при проведении электронного аукциона на право заключения контракта на поставку реагентов для лабораторных исследований (извещение № 0371300003624000109) (далее также – электронный аукцион, закупка)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w:t>
      </w:r>
    </w:p>
    <w:p w:rsidR="005616F2" w:rsidRDefault="005616F2" w:rsidP="005616F2">
      <w:pPr>
        <w:pStyle w:val="a4"/>
        <w:ind w:right="155" w:firstLine="568"/>
        <w:jc w:val="both"/>
        <w:rPr>
          <w:sz w:val="24"/>
          <w:szCs w:val="24"/>
        </w:rPr>
      </w:pPr>
    </w:p>
    <w:p w:rsidR="005616F2" w:rsidRDefault="005616F2" w:rsidP="005616F2">
      <w:pPr>
        <w:pStyle w:val="a4"/>
        <w:ind w:right="155" w:firstLine="568"/>
        <w:jc w:val="center"/>
        <w:rPr>
          <w:sz w:val="24"/>
          <w:szCs w:val="24"/>
        </w:rPr>
      </w:pPr>
      <w:proofErr w:type="gramStart"/>
      <w:r>
        <w:rPr>
          <w:sz w:val="24"/>
          <w:szCs w:val="24"/>
        </w:rPr>
        <w:t>установила</w:t>
      </w:r>
      <w:proofErr w:type="gramEnd"/>
      <w:r>
        <w:rPr>
          <w:sz w:val="24"/>
          <w:szCs w:val="24"/>
        </w:rPr>
        <w:t>:</w:t>
      </w:r>
    </w:p>
    <w:p w:rsidR="005616F2" w:rsidRDefault="005616F2" w:rsidP="005616F2">
      <w:pPr>
        <w:pStyle w:val="a4"/>
        <w:ind w:right="155" w:firstLine="696"/>
        <w:jc w:val="both"/>
        <w:rPr>
          <w:sz w:val="24"/>
          <w:szCs w:val="24"/>
          <w:highlight w:val="yellow"/>
        </w:rPr>
      </w:pPr>
    </w:p>
    <w:p w:rsidR="005616F2" w:rsidRDefault="005616F2" w:rsidP="005616F2">
      <w:pPr>
        <w:pStyle w:val="a4"/>
        <w:ind w:right="155" w:firstLine="696"/>
        <w:jc w:val="both"/>
        <w:rPr>
          <w:sz w:val="24"/>
          <w:szCs w:val="24"/>
          <w:highlight w:val="yellow"/>
        </w:rPr>
      </w:pPr>
      <w:r>
        <w:rPr>
          <w:sz w:val="24"/>
          <w:szCs w:val="24"/>
        </w:rPr>
        <w:t xml:space="preserve">В Ярославское межрегиональное УФАС России поступила жалоба ООО «ЭКОЛИНАС» на действия комиссии по осуществлению закупок заказчика, ГУЗ ЯО </w:t>
      </w:r>
      <w:r>
        <w:rPr>
          <w:sz w:val="24"/>
          <w:szCs w:val="24"/>
        </w:rPr>
        <w:lastRenderedPageBreak/>
        <w:t>«Детская поликлиника № 5», при проведении электронного аукциона на право заключения контракта на поставку реагентов для лабораторных исследований (извещение № 0371300003624000109) (далее – жалоба).</w:t>
      </w:r>
    </w:p>
    <w:p w:rsidR="005616F2" w:rsidRDefault="005616F2" w:rsidP="005616F2">
      <w:pPr>
        <w:pStyle w:val="a4"/>
        <w:ind w:right="155" w:firstLine="696"/>
        <w:jc w:val="both"/>
        <w:rPr>
          <w:sz w:val="24"/>
          <w:szCs w:val="24"/>
        </w:rPr>
      </w:pPr>
      <w:r>
        <w:rPr>
          <w:sz w:val="24"/>
          <w:szCs w:val="24"/>
        </w:rPr>
        <w:t>Заявитель полагает, что заявка последнего была необоснованно отклонена комиссией по осуществлению закупок по следующим основаниям:</w:t>
      </w:r>
    </w:p>
    <w:p w:rsidR="005616F2" w:rsidRDefault="005616F2" w:rsidP="005616F2">
      <w:pPr>
        <w:pStyle w:val="a4"/>
        <w:ind w:right="155" w:firstLine="696"/>
        <w:jc w:val="both"/>
        <w:rPr>
          <w:sz w:val="24"/>
          <w:szCs w:val="24"/>
        </w:rPr>
      </w:pPr>
      <w:r>
        <w:rPr>
          <w:sz w:val="24"/>
          <w:szCs w:val="24"/>
        </w:rPr>
        <w:t xml:space="preserve">- заявка была отклонена со следующим обоснованием: «п.8 ч.12 ст. 48 - выявление недостоверной информации, содержащейся в заявке на участие в закупке (Отклонение по п. 8 ч. 12 ст. 48 Закона № 44-ФЗ. Участником предлагаются к поставке реагенты для анализатора гематологического </w:t>
      </w:r>
      <w:proofErr w:type="spellStart"/>
      <w:r>
        <w:rPr>
          <w:sz w:val="24"/>
          <w:szCs w:val="24"/>
        </w:rPr>
        <w:t>Sysmex</w:t>
      </w:r>
      <w:proofErr w:type="spellEnd"/>
      <w:r>
        <w:rPr>
          <w:sz w:val="24"/>
          <w:szCs w:val="24"/>
        </w:rPr>
        <w:t xml:space="preserve"> XS (вариант исполнения XS-500i), имеющегося у Заказчика, не указанные в разделе 4 «Реагенты» руководства по эксплуатации автоматического гематологического анализатора XS-500i. Согласно п. 2.1 руководства при эксплуатации анализатора «точность результатов анализа не гарантируется при нарушении инструкций, которые приводятся в данном руководстве пользователя. Используйте только те реагенты, которые упоминаются в данном руководстве»». При этом, в описании объекта закупки установлены характеристики требуемого к поставке товара, товарный знак не указан, отсутствует указание на то, что к поставке требуются исключительно оригинальные реагенты производства фирмы «</w:t>
      </w:r>
      <w:proofErr w:type="spellStart"/>
      <w:r>
        <w:rPr>
          <w:sz w:val="24"/>
          <w:szCs w:val="24"/>
        </w:rPr>
        <w:t>Сисмекс</w:t>
      </w:r>
      <w:proofErr w:type="spellEnd"/>
      <w:r>
        <w:rPr>
          <w:sz w:val="24"/>
          <w:szCs w:val="24"/>
        </w:rPr>
        <w:t xml:space="preserve"> </w:t>
      </w:r>
      <w:proofErr w:type="spellStart"/>
      <w:r>
        <w:rPr>
          <w:sz w:val="24"/>
          <w:szCs w:val="24"/>
        </w:rPr>
        <w:t>Корпорейшн</w:t>
      </w:r>
      <w:proofErr w:type="spellEnd"/>
      <w:r>
        <w:rPr>
          <w:sz w:val="24"/>
          <w:szCs w:val="24"/>
        </w:rPr>
        <w:t xml:space="preserve">». Заказчик указал на необходимость обеспечения совместимости с имеющимся у Заказчика анализатором гематологическим </w:t>
      </w:r>
      <w:proofErr w:type="spellStart"/>
      <w:r>
        <w:rPr>
          <w:sz w:val="24"/>
          <w:szCs w:val="24"/>
        </w:rPr>
        <w:t>Sysmex</w:t>
      </w:r>
      <w:proofErr w:type="spellEnd"/>
      <w:r>
        <w:rPr>
          <w:sz w:val="24"/>
          <w:szCs w:val="24"/>
        </w:rPr>
        <w:t xml:space="preserve"> XS (вариант исполнения</w:t>
      </w:r>
      <w:r>
        <w:rPr>
          <w:b/>
          <w:bCs/>
          <w:sz w:val="24"/>
          <w:szCs w:val="24"/>
        </w:rPr>
        <w:t xml:space="preserve"> </w:t>
      </w:r>
      <w:r>
        <w:rPr>
          <w:sz w:val="24"/>
          <w:szCs w:val="24"/>
        </w:rPr>
        <w:t>XS-500i), производитель «</w:t>
      </w:r>
      <w:proofErr w:type="spellStart"/>
      <w:r>
        <w:rPr>
          <w:sz w:val="24"/>
          <w:szCs w:val="24"/>
        </w:rPr>
        <w:t>Сисмекс</w:t>
      </w:r>
      <w:proofErr w:type="spellEnd"/>
      <w:r>
        <w:rPr>
          <w:sz w:val="24"/>
          <w:szCs w:val="24"/>
        </w:rPr>
        <w:t xml:space="preserve"> </w:t>
      </w:r>
      <w:proofErr w:type="spellStart"/>
      <w:r>
        <w:rPr>
          <w:sz w:val="24"/>
          <w:szCs w:val="24"/>
        </w:rPr>
        <w:t>Корпорейшн</w:t>
      </w:r>
      <w:proofErr w:type="spellEnd"/>
      <w:r>
        <w:rPr>
          <w:sz w:val="24"/>
          <w:szCs w:val="24"/>
        </w:rPr>
        <w:t>», Япония. Заявителем предложены реагенты производства ООО «</w:t>
      </w:r>
      <w:proofErr w:type="spellStart"/>
      <w:r>
        <w:rPr>
          <w:sz w:val="24"/>
          <w:szCs w:val="24"/>
        </w:rPr>
        <w:t>Триалаб</w:t>
      </w:r>
      <w:proofErr w:type="spellEnd"/>
      <w:r>
        <w:rPr>
          <w:sz w:val="24"/>
          <w:szCs w:val="24"/>
        </w:rPr>
        <w:t xml:space="preserve">», Россия, которые соответствуют требованиям, установленным в описании объекта закупки и предназначены для гематологических анализаторов </w:t>
      </w:r>
      <w:proofErr w:type="spellStart"/>
      <w:r>
        <w:rPr>
          <w:sz w:val="24"/>
          <w:szCs w:val="24"/>
        </w:rPr>
        <w:t>Sysmex</w:t>
      </w:r>
      <w:proofErr w:type="spellEnd"/>
      <w:r>
        <w:rPr>
          <w:sz w:val="24"/>
          <w:szCs w:val="24"/>
        </w:rPr>
        <w:t xml:space="preserve"> фирмы «</w:t>
      </w:r>
      <w:proofErr w:type="spellStart"/>
      <w:r>
        <w:rPr>
          <w:sz w:val="24"/>
          <w:szCs w:val="24"/>
        </w:rPr>
        <w:t>Сисмекс</w:t>
      </w:r>
      <w:proofErr w:type="spellEnd"/>
      <w:r>
        <w:rPr>
          <w:sz w:val="24"/>
          <w:szCs w:val="24"/>
        </w:rPr>
        <w:t xml:space="preserve"> </w:t>
      </w:r>
      <w:proofErr w:type="spellStart"/>
      <w:r>
        <w:rPr>
          <w:sz w:val="24"/>
          <w:szCs w:val="24"/>
        </w:rPr>
        <w:t>Корпорейшн</w:t>
      </w:r>
      <w:proofErr w:type="spellEnd"/>
      <w:r>
        <w:rPr>
          <w:sz w:val="24"/>
          <w:szCs w:val="24"/>
        </w:rPr>
        <w:t xml:space="preserve">», Япония. Таким образом, Заявителем были представлены все необходимые документы, подтверждающие возможность использования предлагаемого к поставке товара с гематологическим анализатором </w:t>
      </w:r>
      <w:proofErr w:type="spellStart"/>
      <w:r>
        <w:rPr>
          <w:sz w:val="24"/>
          <w:szCs w:val="24"/>
        </w:rPr>
        <w:t>Sysmex</w:t>
      </w:r>
      <w:proofErr w:type="spellEnd"/>
      <w:r>
        <w:rPr>
          <w:sz w:val="24"/>
          <w:szCs w:val="24"/>
        </w:rPr>
        <w:t xml:space="preserve"> фирмы «</w:t>
      </w:r>
      <w:proofErr w:type="spellStart"/>
      <w:r>
        <w:rPr>
          <w:sz w:val="24"/>
          <w:szCs w:val="24"/>
        </w:rPr>
        <w:t>Сисмекс</w:t>
      </w:r>
      <w:proofErr w:type="spellEnd"/>
      <w:r>
        <w:rPr>
          <w:sz w:val="24"/>
          <w:szCs w:val="24"/>
        </w:rPr>
        <w:t xml:space="preserve"> </w:t>
      </w:r>
      <w:proofErr w:type="spellStart"/>
      <w:r>
        <w:rPr>
          <w:sz w:val="24"/>
          <w:szCs w:val="24"/>
        </w:rPr>
        <w:t>Корпорейшн</w:t>
      </w:r>
      <w:proofErr w:type="spellEnd"/>
      <w:r>
        <w:rPr>
          <w:sz w:val="24"/>
          <w:szCs w:val="24"/>
        </w:rPr>
        <w:t xml:space="preserve">», Япония. У комиссии отсутствовали основания для отклонения заявки. </w:t>
      </w:r>
    </w:p>
    <w:p w:rsidR="005616F2" w:rsidRDefault="005616F2" w:rsidP="005616F2">
      <w:pPr>
        <w:pStyle w:val="a4"/>
        <w:ind w:right="155" w:firstLine="696"/>
        <w:jc w:val="both"/>
        <w:rPr>
          <w:sz w:val="24"/>
          <w:szCs w:val="24"/>
        </w:rPr>
      </w:pPr>
      <w:r>
        <w:rPr>
          <w:sz w:val="24"/>
          <w:szCs w:val="24"/>
        </w:rPr>
        <w:t>Таким образом, заявитель просит признать жалобу обоснованной и выдать предписание об устранении допущенных нарушений.</w:t>
      </w:r>
    </w:p>
    <w:p w:rsidR="005616F2" w:rsidRDefault="005616F2" w:rsidP="005616F2">
      <w:pPr>
        <w:pStyle w:val="a4"/>
        <w:ind w:right="155" w:firstLine="696"/>
        <w:jc w:val="both"/>
        <w:rPr>
          <w:sz w:val="24"/>
          <w:szCs w:val="24"/>
        </w:rPr>
      </w:pPr>
      <w:r>
        <w:rPr>
          <w:sz w:val="24"/>
          <w:szCs w:val="24"/>
        </w:rPr>
        <w:t>Заказчик с доводами жалобы не согласился, представил письменные пояснения, просит признать жалобу заявителя необоснованной.</w:t>
      </w:r>
    </w:p>
    <w:p w:rsidR="005616F2" w:rsidRDefault="005616F2" w:rsidP="005616F2">
      <w:pPr>
        <w:pStyle w:val="a4"/>
        <w:ind w:right="155" w:firstLine="696"/>
        <w:jc w:val="both"/>
        <w:rPr>
          <w:sz w:val="24"/>
          <w:szCs w:val="24"/>
        </w:rPr>
      </w:pPr>
      <w:r>
        <w:rPr>
          <w:sz w:val="24"/>
          <w:szCs w:val="24"/>
        </w:rPr>
        <w:t>Заслушав пояснения представителей сторон, а также изучив представленные документы и материалы, Комиссия установила следующее.</w:t>
      </w:r>
    </w:p>
    <w:p w:rsidR="005616F2" w:rsidRDefault="005616F2" w:rsidP="005616F2">
      <w:pPr>
        <w:pStyle w:val="a4"/>
        <w:ind w:right="155" w:firstLine="696"/>
        <w:jc w:val="both"/>
        <w:rPr>
          <w:sz w:val="24"/>
          <w:szCs w:val="24"/>
          <w:highlight w:val="yellow"/>
        </w:rPr>
      </w:pPr>
      <w:r>
        <w:rPr>
          <w:sz w:val="24"/>
          <w:szCs w:val="24"/>
        </w:rPr>
        <w:t>Заказчиком в единой информационной системе (официальный сайт в сети «Интернет» www.zakupki.gov.ru) 09.09.2024 размещено извещение № 0371300003624000109 об осуществлении закупки.</w:t>
      </w:r>
    </w:p>
    <w:p w:rsidR="005616F2" w:rsidRDefault="005616F2" w:rsidP="005616F2">
      <w:pPr>
        <w:pStyle w:val="a4"/>
        <w:ind w:right="155" w:firstLine="696"/>
        <w:jc w:val="both"/>
        <w:rPr>
          <w:sz w:val="24"/>
          <w:szCs w:val="24"/>
        </w:rPr>
      </w:pPr>
      <w:r>
        <w:rPr>
          <w:sz w:val="24"/>
          <w:szCs w:val="24"/>
        </w:rPr>
        <w:t>Начальная (максимальная) цена контракта составила 264 773,29 рублей.</w:t>
      </w:r>
    </w:p>
    <w:p w:rsidR="005616F2" w:rsidRDefault="005616F2" w:rsidP="005616F2">
      <w:pPr>
        <w:pStyle w:val="a4"/>
        <w:ind w:right="155" w:firstLine="696"/>
        <w:jc w:val="both"/>
        <w:rPr>
          <w:sz w:val="24"/>
          <w:szCs w:val="24"/>
        </w:rPr>
      </w:pPr>
      <w:r>
        <w:rPr>
          <w:sz w:val="24"/>
          <w:szCs w:val="24"/>
        </w:rPr>
        <w:t>В силу части 2 статьи 8 Федерального закона от 05.04.2013 №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616F2" w:rsidRDefault="005616F2" w:rsidP="005616F2">
      <w:pPr>
        <w:pStyle w:val="a4"/>
        <w:ind w:right="155" w:firstLine="696"/>
        <w:jc w:val="both"/>
        <w:rPr>
          <w:sz w:val="24"/>
          <w:szCs w:val="24"/>
        </w:rPr>
      </w:pPr>
      <w:r>
        <w:rPr>
          <w:sz w:val="24"/>
          <w:szCs w:val="24"/>
        </w:rPr>
        <w:t>В силу части 1 статьи 49 Федерального закона от 05.04.2013 № 44-ФЗ электронный аукцион начинается с размещения в единой информационной системе извещения об осуществлении закупки.</w:t>
      </w:r>
    </w:p>
    <w:p w:rsidR="005616F2" w:rsidRDefault="005616F2" w:rsidP="005616F2">
      <w:pPr>
        <w:pStyle w:val="a4"/>
        <w:ind w:right="155" w:firstLine="696"/>
        <w:jc w:val="both"/>
        <w:rPr>
          <w:sz w:val="24"/>
          <w:szCs w:val="24"/>
        </w:rPr>
      </w:pPr>
      <w:r>
        <w:rPr>
          <w:sz w:val="24"/>
          <w:szCs w:val="24"/>
        </w:rP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w:t>
      </w:r>
      <w:r>
        <w:rPr>
          <w:sz w:val="24"/>
          <w:szCs w:val="24"/>
        </w:rPr>
        <w:lastRenderedPageBreak/>
        <w:t>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(пункт 5 части 1 статьи 42 Федерального закона от 05.04.2013 № 44-ФЗ).</w:t>
      </w:r>
    </w:p>
    <w:p w:rsidR="005616F2" w:rsidRDefault="005616F2" w:rsidP="005616F2">
      <w:pPr>
        <w:suppressAutoHyphens w:val="0"/>
        <w:autoSpaceDE w:val="0"/>
        <w:autoSpaceDN w:val="0"/>
        <w:spacing w:before="1"/>
        <w:ind w:right="-1" w:firstLine="710"/>
        <w:jc w:val="both"/>
        <w:rPr>
          <w:sz w:val="24"/>
          <w:szCs w:val="24"/>
        </w:rPr>
      </w:pPr>
      <w:r>
        <w:rPr>
          <w:sz w:val="24"/>
          <w:szCs w:val="24"/>
        </w:rPr>
        <w:t>Пунктом 1 части 2 статьи 42 Федерального закона от 05.04.2013 № 44-ФЗ установлено, что</w:t>
      </w:r>
      <w:r>
        <w:rPr>
          <w:spacing w:val="1"/>
          <w:sz w:val="24"/>
          <w:szCs w:val="24"/>
        </w:rPr>
        <w:t xml:space="preserve"> </w:t>
      </w:r>
      <w:r>
        <w:rPr>
          <w:sz w:val="24"/>
          <w:szCs w:val="24"/>
        </w:rPr>
        <w:t>извещение</w:t>
      </w:r>
      <w:r>
        <w:rPr>
          <w:spacing w:val="1"/>
          <w:sz w:val="24"/>
          <w:szCs w:val="24"/>
        </w:rPr>
        <w:t xml:space="preserve"> </w:t>
      </w:r>
      <w:r>
        <w:rPr>
          <w:sz w:val="24"/>
          <w:szCs w:val="24"/>
        </w:rPr>
        <w:t>об</w:t>
      </w:r>
      <w:r>
        <w:rPr>
          <w:spacing w:val="1"/>
          <w:sz w:val="24"/>
          <w:szCs w:val="24"/>
        </w:rPr>
        <w:t xml:space="preserve"> </w:t>
      </w:r>
      <w:r>
        <w:rPr>
          <w:sz w:val="24"/>
          <w:szCs w:val="24"/>
        </w:rPr>
        <w:t>осуществлении</w:t>
      </w:r>
      <w:r>
        <w:rPr>
          <w:spacing w:val="1"/>
          <w:sz w:val="24"/>
          <w:szCs w:val="24"/>
        </w:rPr>
        <w:t xml:space="preserve"> </w:t>
      </w:r>
      <w:r>
        <w:rPr>
          <w:sz w:val="24"/>
          <w:szCs w:val="24"/>
        </w:rPr>
        <w:t>закупки,</w:t>
      </w:r>
      <w:r>
        <w:rPr>
          <w:spacing w:val="1"/>
          <w:sz w:val="24"/>
          <w:szCs w:val="24"/>
        </w:rPr>
        <w:t xml:space="preserve"> </w:t>
      </w:r>
      <w:r>
        <w:rPr>
          <w:sz w:val="24"/>
          <w:szCs w:val="24"/>
        </w:rPr>
        <w:t>если</w:t>
      </w:r>
      <w:r>
        <w:rPr>
          <w:spacing w:val="1"/>
          <w:sz w:val="24"/>
          <w:szCs w:val="24"/>
        </w:rPr>
        <w:t xml:space="preserve"> </w:t>
      </w:r>
      <w:r>
        <w:rPr>
          <w:sz w:val="24"/>
          <w:szCs w:val="24"/>
        </w:rPr>
        <w:t>иное</w:t>
      </w:r>
      <w:r>
        <w:rPr>
          <w:spacing w:val="1"/>
          <w:sz w:val="24"/>
          <w:szCs w:val="24"/>
        </w:rPr>
        <w:t xml:space="preserve"> </w:t>
      </w:r>
      <w:r>
        <w:rPr>
          <w:sz w:val="24"/>
          <w:szCs w:val="24"/>
        </w:rPr>
        <w:t>не</w:t>
      </w:r>
      <w:r>
        <w:rPr>
          <w:spacing w:val="1"/>
          <w:sz w:val="24"/>
          <w:szCs w:val="24"/>
        </w:rPr>
        <w:t xml:space="preserve"> </w:t>
      </w:r>
      <w:r>
        <w:rPr>
          <w:sz w:val="24"/>
          <w:szCs w:val="24"/>
        </w:rPr>
        <w:t>предусмотрено</w:t>
      </w:r>
      <w:r>
        <w:rPr>
          <w:spacing w:val="1"/>
          <w:sz w:val="24"/>
          <w:szCs w:val="24"/>
        </w:rPr>
        <w:t xml:space="preserve"> </w:t>
      </w:r>
      <w:r>
        <w:rPr>
          <w:sz w:val="24"/>
          <w:szCs w:val="24"/>
        </w:rPr>
        <w:t>настоящим</w:t>
      </w:r>
      <w:r>
        <w:rPr>
          <w:spacing w:val="1"/>
          <w:sz w:val="24"/>
          <w:szCs w:val="24"/>
        </w:rPr>
        <w:t xml:space="preserve"> </w:t>
      </w:r>
      <w:r>
        <w:rPr>
          <w:sz w:val="24"/>
          <w:szCs w:val="24"/>
        </w:rPr>
        <w:t>Федеральным</w:t>
      </w:r>
      <w:r>
        <w:rPr>
          <w:spacing w:val="-57"/>
          <w:sz w:val="24"/>
          <w:szCs w:val="24"/>
        </w:rPr>
        <w:t xml:space="preserve"> </w:t>
      </w:r>
      <w:r>
        <w:rPr>
          <w:sz w:val="24"/>
          <w:szCs w:val="24"/>
        </w:rPr>
        <w:t>законом, должно содержать в числе прочего следующий электронный документ: описание объекта</w:t>
      </w:r>
      <w:r>
        <w:rPr>
          <w:spacing w:val="-57"/>
          <w:sz w:val="24"/>
          <w:szCs w:val="24"/>
        </w:rPr>
        <w:t xml:space="preserve"> </w:t>
      </w:r>
      <w:r>
        <w:rPr>
          <w:sz w:val="24"/>
          <w:szCs w:val="24"/>
        </w:rPr>
        <w:t>закупки</w:t>
      </w:r>
      <w:r>
        <w:rPr>
          <w:spacing w:val="-1"/>
          <w:sz w:val="24"/>
          <w:szCs w:val="24"/>
        </w:rPr>
        <w:t xml:space="preserve"> </w:t>
      </w:r>
      <w:r>
        <w:rPr>
          <w:sz w:val="24"/>
          <w:szCs w:val="24"/>
        </w:rPr>
        <w:t>в</w:t>
      </w:r>
      <w:r>
        <w:rPr>
          <w:spacing w:val="-1"/>
          <w:sz w:val="24"/>
          <w:szCs w:val="24"/>
        </w:rPr>
        <w:t xml:space="preserve"> </w:t>
      </w:r>
      <w:r>
        <w:rPr>
          <w:sz w:val="24"/>
          <w:szCs w:val="24"/>
        </w:rPr>
        <w:t>соответствии со</w:t>
      </w:r>
      <w:r>
        <w:rPr>
          <w:spacing w:val="-1"/>
          <w:sz w:val="24"/>
          <w:szCs w:val="24"/>
        </w:rPr>
        <w:t xml:space="preserve"> </w:t>
      </w:r>
      <w:hyperlink r:id="rId6" w:anchor="dst100386" w:history="1">
        <w:r>
          <w:rPr>
            <w:rStyle w:val="a3"/>
            <w:color w:val="00007F"/>
            <w:sz w:val="24"/>
            <w:szCs w:val="24"/>
          </w:rPr>
          <w:t>статьей 33</w:t>
        </w:r>
        <w:r>
          <w:rPr>
            <w:rStyle w:val="a3"/>
            <w:color w:val="00007F"/>
            <w:spacing w:val="-1"/>
            <w:sz w:val="24"/>
            <w:szCs w:val="24"/>
          </w:rPr>
          <w:t xml:space="preserve"> </w:t>
        </w:r>
      </w:hyperlink>
      <w:r>
        <w:rPr>
          <w:sz w:val="24"/>
          <w:szCs w:val="24"/>
        </w:rPr>
        <w:t>настоящего</w:t>
      </w:r>
      <w:r>
        <w:rPr>
          <w:spacing w:val="-2"/>
          <w:sz w:val="24"/>
          <w:szCs w:val="24"/>
        </w:rPr>
        <w:t xml:space="preserve"> </w:t>
      </w:r>
      <w:r>
        <w:rPr>
          <w:sz w:val="24"/>
          <w:szCs w:val="24"/>
        </w:rPr>
        <w:t>Федерального закона.</w:t>
      </w:r>
    </w:p>
    <w:p w:rsidR="005616F2" w:rsidRDefault="005616F2" w:rsidP="005616F2">
      <w:pPr>
        <w:suppressAutoHyphens w:val="0"/>
        <w:autoSpaceDE w:val="0"/>
        <w:autoSpaceDN w:val="0"/>
        <w:ind w:right="-1" w:firstLine="710"/>
        <w:jc w:val="both"/>
        <w:rPr>
          <w:sz w:val="24"/>
          <w:szCs w:val="24"/>
        </w:rPr>
      </w:pPr>
      <w:r>
        <w:rPr>
          <w:sz w:val="24"/>
          <w:szCs w:val="24"/>
        </w:rPr>
        <w:t>Согласно пункту 1 части 1 статьи 33 Федерального закона от 05.04.2013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5616F2" w:rsidRDefault="005616F2" w:rsidP="005616F2">
      <w:pPr>
        <w:suppressAutoHyphens w:val="0"/>
        <w:autoSpaceDE w:val="0"/>
        <w:autoSpaceDN w:val="0"/>
        <w:ind w:right="-1" w:firstLine="710"/>
        <w:jc w:val="both"/>
        <w:rPr>
          <w:sz w:val="24"/>
          <w:szCs w:val="24"/>
        </w:rPr>
      </w:pPr>
      <w:proofErr w:type="gramStart"/>
      <w:r>
        <w:rPr>
          <w:sz w:val="24"/>
          <w:szCs w:val="24"/>
        </w:rPr>
        <w:t>а</w:t>
      </w:r>
      <w:proofErr w:type="gramEnd"/>
      <w:r>
        <w:rPr>
          <w:sz w:val="24"/>
          <w:szCs w:val="24"/>
        </w:rPr>
        <w:t>) сопровождение такого указания словами "или эквивалент";</w:t>
      </w:r>
    </w:p>
    <w:p w:rsidR="005616F2" w:rsidRDefault="005616F2" w:rsidP="005616F2">
      <w:pPr>
        <w:suppressAutoHyphens w:val="0"/>
        <w:autoSpaceDE w:val="0"/>
        <w:autoSpaceDN w:val="0"/>
        <w:ind w:right="-1" w:firstLine="710"/>
        <w:jc w:val="both"/>
        <w:rPr>
          <w:sz w:val="24"/>
          <w:szCs w:val="24"/>
        </w:rPr>
      </w:pPr>
      <w:proofErr w:type="gramStart"/>
      <w:r>
        <w:rPr>
          <w:sz w:val="24"/>
          <w:szCs w:val="24"/>
        </w:rPr>
        <w:t>б</w:t>
      </w:r>
      <w:proofErr w:type="gramEnd"/>
      <w:r>
        <w:rPr>
          <w:sz w:val="24"/>
          <w:szCs w:val="24"/>
        </w:rPr>
        <w:t>)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5616F2" w:rsidRDefault="005616F2" w:rsidP="005616F2">
      <w:pPr>
        <w:suppressAutoHyphens w:val="0"/>
        <w:autoSpaceDE w:val="0"/>
        <w:autoSpaceDN w:val="0"/>
        <w:ind w:right="-1" w:firstLine="710"/>
        <w:jc w:val="both"/>
        <w:rPr>
          <w:sz w:val="24"/>
          <w:szCs w:val="24"/>
        </w:rPr>
      </w:pPr>
      <w:proofErr w:type="gramStart"/>
      <w:r>
        <w:rPr>
          <w:sz w:val="24"/>
          <w:szCs w:val="24"/>
        </w:rPr>
        <w:t>в</w:t>
      </w:r>
      <w:proofErr w:type="gramEnd"/>
      <w:r>
        <w:rPr>
          <w:sz w:val="24"/>
          <w:szCs w:val="24"/>
        </w:rPr>
        <w:t>)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616F2" w:rsidRDefault="005616F2" w:rsidP="005616F2">
      <w:pPr>
        <w:suppressAutoHyphens w:val="0"/>
        <w:autoSpaceDE w:val="0"/>
        <w:autoSpaceDN w:val="0"/>
        <w:ind w:right="-1" w:firstLine="710"/>
        <w:jc w:val="both"/>
        <w:rPr>
          <w:sz w:val="24"/>
          <w:szCs w:val="24"/>
        </w:rPr>
      </w:pPr>
      <w:proofErr w:type="gramStart"/>
      <w:r>
        <w:rPr>
          <w:sz w:val="24"/>
          <w:szCs w:val="24"/>
        </w:rPr>
        <w:t>г</w:t>
      </w:r>
      <w:proofErr w:type="gramEnd"/>
      <w:r>
        <w:rPr>
          <w:sz w:val="24"/>
          <w:szCs w:val="24"/>
        </w:rPr>
        <w:t>)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5616F2" w:rsidRDefault="005616F2" w:rsidP="005616F2">
      <w:pPr>
        <w:suppressAutoHyphens w:val="0"/>
        <w:autoSpaceDE w:val="0"/>
        <w:autoSpaceDN w:val="0"/>
        <w:ind w:right="-1" w:firstLine="710"/>
        <w:jc w:val="both"/>
        <w:rPr>
          <w:sz w:val="24"/>
          <w:szCs w:val="24"/>
        </w:rPr>
      </w:pPr>
      <w:r>
        <w:rPr>
          <w:sz w:val="24"/>
          <w:szCs w:val="24"/>
        </w:rPr>
        <w:t xml:space="preserve">В соответствии с частью 2 статьи 33 Федерального закона от 05.04.2013 № 44-ФЗ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w:t>
      </w:r>
    </w:p>
    <w:p w:rsidR="005616F2" w:rsidRDefault="005616F2" w:rsidP="005616F2">
      <w:pPr>
        <w:suppressAutoHyphens w:val="0"/>
        <w:autoSpaceDE w:val="0"/>
        <w:autoSpaceDN w:val="0"/>
        <w:ind w:right="-1" w:firstLine="710"/>
        <w:jc w:val="both"/>
        <w:rPr>
          <w:sz w:val="24"/>
          <w:szCs w:val="24"/>
        </w:rPr>
      </w:pPr>
      <w:r>
        <w:rPr>
          <w:sz w:val="24"/>
          <w:szCs w:val="24"/>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аукциона надлежащим образом оформить заявку на участие в закупке.</w:t>
      </w:r>
    </w:p>
    <w:p w:rsidR="005616F2" w:rsidRDefault="005616F2" w:rsidP="005616F2">
      <w:pPr>
        <w:ind w:firstLine="709"/>
        <w:jc w:val="both"/>
        <w:rPr>
          <w:bCs/>
          <w:iCs/>
          <w:sz w:val="24"/>
          <w:szCs w:val="24"/>
          <w:highlight w:val="yellow"/>
          <w:lang w:eastAsia="zh-CN"/>
        </w:rPr>
      </w:pPr>
      <w:r>
        <w:rPr>
          <w:bCs/>
          <w:iCs/>
          <w:sz w:val="24"/>
          <w:szCs w:val="24"/>
          <w:lang w:eastAsia="zh-CN"/>
        </w:rPr>
        <w:t>Заказчиком в электронном документе «Описание объекта закупки.</w:t>
      </w:r>
      <w:r>
        <w:rPr>
          <w:bCs/>
          <w:iCs/>
          <w:sz w:val="24"/>
          <w:szCs w:val="24"/>
          <w:lang w:val="en-US" w:eastAsia="zh-CN"/>
        </w:rPr>
        <w:t>doc</w:t>
      </w:r>
      <w:r>
        <w:rPr>
          <w:bCs/>
          <w:iCs/>
          <w:sz w:val="24"/>
          <w:szCs w:val="24"/>
          <w:lang w:eastAsia="zh-CN"/>
        </w:rPr>
        <w:t>» извещения о закупке предусмотрено описание закупаемого товара, включающее характеристики и их значения: (</w:t>
      </w:r>
      <w:r>
        <w:rPr>
          <w:bCs/>
          <w:i/>
          <w:iCs/>
          <w:sz w:val="24"/>
          <w:szCs w:val="24"/>
          <w:lang w:eastAsia="zh-CN"/>
        </w:rPr>
        <w:t>приведена выдержка</w:t>
      </w:r>
      <w:r>
        <w:rPr>
          <w:bCs/>
          <w:iCs/>
          <w:sz w:val="24"/>
          <w:szCs w:val="24"/>
          <w:lang w:eastAsia="zh-CN"/>
        </w:rPr>
        <w:t>)</w:t>
      </w:r>
    </w:p>
    <w:p w:rsidR="005616F2" w:rsidRDefault="005616F2" w:rsidP="005616F2">
      <w:pPr>
        <w:keepNext/>
        <w:tabs>
          <w:tab w:val="left" w:pos="6285"/>
        </w:tabs>
        <w:rPr>
          <w:rFonts w:eastAsia="Calibri"/>
          <w:sz w:val="24"/>
          <w:szCs w:val="24"/>
        </w:rPr>
      </w:pPr>
      <w:r>
        <w:rPr>
          <w:sz w:val="24"/>
          <w:szCs w:val="24"/>
        </w:rPr>
        <w:t xml:space="preserve"> «…</w:t>
      </w:r>
      <w:r>
        <w:rPr>
          <w:rFonts w:eastAsia="Calibri"/>
          <w:b/>
          <w:bCs/>
          <w:sz w:val="24"/>
          <w:szCs w:val="24"/>
        </w:rPr>
        <w:t>Объект закупки:</w:t>
      </w:r>
      <w:r>
        <w:rPr>
          <w:rFonts w:eastAsia="Calibri"/>
          <w:sz w:val="24"/>
          <w:szCs w:val="24"/>
        </w:rPr>
        <w:t xml:space="preserve"> Поставка реагентов для лабораторных исследований (далее – товар)</w:t>
      </w:r>
    </w:p>
    <w:tbl>
      <w:tblPr>
        <w:tblW w:w="5450" w:type="pct"/>
        <w:tblInd w:w="-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57" w:type="dxa"/>
          <w:bottom w:w="57" w:type="dxa"/>
          <w:right w:w="57" w:type="dxa"/>
        </w:tblCellMar>
        <w:tblLook w:val="04A0" w:firstRow="1" w:lastRow="0" w:firstColumn="1" w:lastColumn="0" w:noHBand="0" w:noVBand="1"/>
      </w:tblPr>
      <w:tblGrid>
        <w:gridCol w:w="411"/>
        <w:gridCol w:w="1748"/>
        <w:gridCol w:w="2575"/>
        <w:gridCol w:w="1594"/>
        <w:gridCol w:w="1594"/>
        <w:gridCol w:w="2261"/>
      </w:tblGrid>
      <w:tr w:rsidR="005616F2" w:rsidTr="005616F2">
        <w:tc>
          <w:tcPr>
            <w:tcW w:w="206" w:type="pct"/>
            <w:vMerge w:val="restar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t xml:space="preserve">№ </w:t>
            </w:r>
            <w:r>
              <w:rPr>
                <w:lang w:eastAsia="ru-RU"/>
              </w:rPr>
              <w:lastRenderedPageBreak/>
              <w:t>п/п</w:t>
            </w:r>
          </w:p>
        </w:tc>
        <w:tc>
          <w:tcPr>
            <w:tcW w:w="834" w:type="pct"/>
            <w:vMerge w:val="restar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lastRenderedPageBreak/>
              <w:t xml:space="preserve">Наименование </w:t>
            </w:r>
            <w:r>
              <w:rPr>
                <w:lang w:eastAsia="ru-RU"/>
              </w:rPr>
              <w:lastRenderedPageBreak/>
              <w:t>товара</w:t>
            </w:r>
          </w:p>
        </w:tc>
        <w:tc>
          <w:tcPr>
            <w:tcW w:w="2644" w:type="pct"/>
            <w:gridSpan w:val="3"/>
            <w:tcBorders>
              <w:top w:val="single" w:sz="4" w:space="0" w:color="000000"/>
              <w:left w:val="single" w:sz="4" w:space="0" w:color="000000"/>
              <w:bottom w:val="single" w:sz="4" w:space="0" w:color="000000"/>
              <w:right w:val="single" w:sz="4" w:space="0" w:color="auto"/>
            </w:tcBorders>
            <w:hideMark/>
          </w:tcPr>
          <w:p w:rsidR="005616F2" w:rsidRDefault="005616F2">
            <w:pPr>
              <w:spacing w:line="256" w:lineRule="auto"/>
              <w:jc w:val="center"/>
              <w:rPr>
                <w:lang w:eastAsia="ru-RU"/>
              </w:rPr>
            </w:pPr>
            <w:r>
              <w:rPr>
                <w:lang w:eastAsia="ru-RU"/>
              </w:rPr>
              <w:lastRenderedPageBreak/>
              <w:t>Характеристики товара</w:t>
            </w:r>
          </w:p>
        </w:tc>
        <w:tc>
          <w:tcPr>
            <w:tcW w:w="1316" w:type="pct"/>
            <w:vMerge w:val="restart"/>
            <w:tcBorders>
              <w:top w:val="single" w:sz="4" w:space="0" w:color="000000"/>
              <w:left w:val="single" w:sz="4" w:space="0" w:color="auto"/>
              <w:bottom w:val="single" w:sz="4" w:space="0" w:color="000000"/>
              <w:right w:val="single" w:sz="4" w:space="0" w:color="000000"/>
            </w:tcBorders>
            <w:hideMark/>
          </w:tcPr>
          <w:p w:rsidR="005616F2" w:rsidRDefault="005616F2">
            <w:pPr>
              <w:spacing w:line="256" w:lineRule="auto"/>
              <w:jc w:val="center"/>
              <w:rPr>
                <w:lang w:eastAsia="ru-RU"/>
              </w:rPr>
            </w:pPr>
            <w:r>
              <w:rPr>
                <w:lang w:eastAsia="ru-RU"/>
              </w:rPr>
              <w:t xml:space="preserve">Инструкция по </w:t>
            </w:r>
            <w:r>
              <w:rPr>
                <w:lang w:eastAsia="ru-RU"/>
              </w:rPr>
              <w:lastRenderedPageBreak/>
              <w:t>заполнению характеристик в заявке</w:t>
            </w:r>
          </w:p>
        </w:tc>
      </w:tr>
      <w:tr w:rsidR="005616F2" w:rsidTr="005616F2">
        <w:trPr>
          <w:trHeight w:val="87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16F2" w:rsidRDefault="005616F2">
            <w:pPr>
              <w:widowControl/>
              <w:suppressAutoHyphens w:val="0"/>
              <w:spacing w:line="256" w:lineRule="auto"/>
              <w:rPr>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16F2" w:rsidRDefault="005616F2">
            <w:pPr>
              <w:widowControl/>
              <w:suppressAutoHyphens w:val="0"/>
              <w:spacing w:line="256" w:lineRule="auto"/>
              <w:rPr>
                <w:lang w:eastAsia="ru-RU"/>
              </w:rPr>
            </w:pPr>
          </w:p>
        </w:tc>
        <w:tc>
          <w:tcPr>
            <w:tcW w:w="1672" w:type="pct"/>
            <w:tcBorders>
              <w:top w:val="outset" w:sz="6" w:space="0" w:color="000000"/>
              <w:left w:val="outset" w:sz="6" w:space="0" w:color="000000"/>
              <w:bottom w:val="single" w:sz="4" w:space="0" w:color="000000"/>
              <w:right w:val="outset" w:sz="6" w:space="0" w:color="000000"/>
            </w:tcBorders>
            <w:hideMark/>
          </w:tcPr>
          <w:p w:rsidR="005616F2" w:rsidRDefault="005616F2">
            <w:pPr>
              <w:spacing w:line="256" w:lineRule="auto"/>
              <w:jc w:val="center"/>
              <w:rPr>
                <w:highlight w:val="green"/>
                <w:lang w:eastAsia="ru-RU"/>
              </w:rPr>
            </w:pPr>
            <w:r>
              <w:t>Наименование характеристики</w:t>
            </w:r>
          </w:p>
        </w:tc>
        <w:tc>
          <w:tcPr>
            <w:tcW w:w="483" w:type="pct"/>
            <w:tcBorders>
              <w:top w:val="outset" w:sz="6" w:space="0" w:color="000000"/>
              <w:left w:val="outset" w:sz="6" w:space="0" w:color="000000"/>
              <w:bottom w:val="single" w:sz="4" w:space="0" w:color="000000"/>
              <w:right w:val="outset" w:sz="6" w:space="0" w:color="000000"/>
            </w:tcBorders>
            <w:hideMark/>
          </w:tcPr>
          <w:p w:rsidR="005616F2" w:rsidRDefault="005616F2">
            <w:pPr>
              <w:spacing w:line="256" w:lineRule="auto"/>
              <w:jc w:val="center"/>
              <w:rPr>
                <w:highlight w:val="green"/>
                <w:lang w:val="en-US" w:eastAsia="ru-RU"/>
              </w:rPr>
            </w:pPr>
            <w:r>
              <w:t>Значение характеристики</w:t>
            </w:r>
          </w:p>
        </w:tc>
        <w:tc>
          <w:tcPr>
            <w:tcW w:w="489" w:type="pct"/>
            <w:tcBorders>
              <w:top w:val="nil"/>
              <w:left w:val="single" w:sz="4" w:space="0" w:color="000000"/>
              <w:bottom w:val="single" w:sz="4" w:space="0" w:color="000000"/>
              <w:right w:val="single" w:sz="4" w:space="0" w:color="auto"/>
            </w:tcBorders>
            <w:shd w:val="clear" w:color="auto" w:fill="FFFFFF" w:themeFill="background1"/>
            <w:hideMark/>
          </w:tcPr>
          <w:p w:rsidR="005616F2" w:rsidRDefault="005616F2">
            <w:pPr>
              <w:spacing w:line="256" w:lineRule="auto"/>
              <w:jc w:val="center"/>
              <w:rPr>
                <w:lang w:eastAsia="ru-RU"/>
              </w:rPr>
            </w:pPr>
            <w:r>
              <w:rPr>
                <w:lang w:eastAsia="ru-RU"/>
              </w:rPr>
              <w:t>Единица измерения характеристики</w:t>
            </w:r>
          </w:p>
        </w:tc>
        <w:tc>
          <w:tcPr>
            <w:tcW w:w="0" w:type="auto"/>
            <w:vMerge/>
            <w:tcBorders>
              <w:top w:val="single" w:sz="4" w:space="0" w:color="000000"/>
              <w:left w:val="single" w:sz="4" w:space="0" w:color="auto"/>
              <w:bottom w:val="single" w:sz="4" w:space="0" w:color="000000"/>
              <w:right w:val="single" w:sz="4" w:space="0" w:color="000000"/>
            </w:tcBorders>
            <w:vAlign w:val="center"/>
            <w:hideMark/>
          </w:tcPr>
          <w:p w:rsidR="005616F2" w:rsidRDefault="005616F2">
            <w:pPr>
              <w:widowControl/>
              <w:suppressAutoHyphens w:val="0"/>
              <w:spacing w:line="256" w:lineRule="auto"/>
              <w:rPr>
                <w:lang w:eastAsia="ru-RU"/>
              </w:rPr>
            </w:pPr>
          </w:p>
        </w:tc>
      </w:tr>
      <w:tr w:rsidR="005616F2" w:rsidTr="005616F2">
        <w:tc>
          <w:tcPr>
            <w:tcW w:w="206" w:type="pct"/>
            <w:vMerge w:val="restart"/>
            <w:tcBorders>
              <w:top w:val="outset" w:sz="6" w:space="0" w:color="000000"/>
              <w:left w:val="outset" w:sz="6" w:space="0" w:color="000000"/>
              <w:bottom w:val="single" w:sz="4" w:space="0" w:color="000000"/>
              <w:right w:val="outset" w:sz="6" w:space="0" w:color="000000"/>
            </w:tcBorders>
            <w:hideMark/>
          </w:tcPr>
          <w:p w:rsidR="005616F2" w:rsidRDefault="005616F2">
            <w:pPr>
              <w:spacing w:line="256" w:lineRule="auto"/>
              <w:jc w:val="center"/>
              <w:rPr>
                <w:lang w:eastAsia="ru-RU"/>
              </w:rPr>
            </w:pPr>
            <w:r>
              <w:rPr>
                <w:lang w:eastAsia="ru-RU"/>
              </w:rPr>
              <w:lastRenderedPageBreak/>
              <w:t>1</w:t>
            </w:r>
          </w:p>
        </w:tc>
        <w:tc>
          <w:tcPr>
            <w:tcW w:w="834" w:type="pct"/>
            <w:vMerge w:val="restart"/>
            <w:tcBorders>
              <w:top w:val="outset" w:sz="6" w:space="0" w:color="000000"/>
              <w:left w:val="outset" w:sz="6" w:space="0" w:color="000000"/>
              <w:bottom w:val="outset" w:sz="6" w:space="0" w:color="000000"/>
              <w:right w:val="outset" w:sz="6" w:space="0" w:color="000000"/>
            </w:tcBorders>
            <w:hideMark/>
          </w:tcPr>
          <w:p w:rsidR="005616F2" w:rsidRDefault="005616F2">
            <w:pPr>
              <w:spacing w:line="256" w:lineRule="auto"/>
              <w:jc w:val="center"/>
              <w:rPr>
                <w:lang w:eastAsia="ru-RU"/>
              </w:rPr>
            </w:pPr>
            <w:r>
              <w:rPr>
                <w:lang w:eastAsia="ru-RU"/>
              </w:rPr>
              <w:t xml:space="preserve">Универсальный </w:t>
            </w:r>
            <w:proofErr w:type="spellStart"/>
            <w:r>
              <w:rPr>
                <w:lang w:eastAsia="ru-RU"/>
              </w:rPr>
              <w:t>дилюент</w:t>
            </w:r>
            <w:proofErr w:type="spellEnd"/>
          </w:p>
        </w:tc>
        <w:tc>
          <w:tcPr>
            <w:tcW w:w="1672" w:type="pct"/>
            <w:tcBorders>
              <w:top w:val="outset" w:sz="6" w:space="0" w:color="000000"/>
              <w:left w:val="outset" w:sz="6" w:space="0" w:color="000000"/>
              <w:bottom w:val="outset" w:sz="6" w:space="0" w:color="000000"/>
              <w:right w:val="outset" w:sz="6" w:space="0" w:color="000000"/>
            </w:tcBorders>
            <w:hideMark/>
          </w:tcPr>
          <w:p w:rsidR="005616F2" w:rsidRDefault="005616F2">
            <w:pPr>
              <w:spacing w:line="256" w:lineRule="auto"/>
              <w:ind w:left="93"/>
              <w:rPr>
                <w:lang w:eastAsia="ru-RU"/>
              </w:rPr>
            </w:pPr>
            <w:r>
              <w:t xml:space="preserve">Назначение: разбавитель цельной крови для абсолютного подсчета WBC, RBC и PLT прямым методом. При добавлении специального </w:t>
            </w:r>
            <w:proofErr w:type="spellStart"/>
            <w:r>
              <w:t>лизирующего</w:t>
            </w:r>
            <w:proofErr w:type="spellEnd"/>
            <w:r>
              <w:t xml:space="preserve"> реагента его можно использовать для определения концентрации гемоглобина</w:t>
            </w:r>
          </w:p>
        </w:tc>
        <w:tc>
          <w:tcPr>
            <w:tcW w:w="483"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t>Соответствие</w:t>
            </w:r>
          </w:p>
        </w:tc>
        <w:tc>
          <w:tcPr>
            <w:tcW w:w="489" w:type="pct"/>
            <w:tcBorders>
              <w:top w:val="single" w:sz="4" w:space="0" w:color="000000"/>
              <w:left w:val="single" w:sz="4" w:space="0" w:color="000000"/>
              <w:bottom w:val="single" w:sz="4" w:space="0" w:color="000000"/>
              <w:right w:val="single" w:sz="4" w:space="0" w:color="000000"/>
            </w:tcBorders>
          </w:tcPr>
          <w:p w:rsidR="005616F2" w:rsidRDefault="005616F2">
            <w:pPr>
              <w:spacing w:line="256" w:lineRule="auto"/>
              <w:jc w:val="center"/>
              <w:rPr>
                <w:lang w:eastAsia="ru-RU"/>
              </w:rPr>
            </w:pPr>
          </w:p>
        </w:tc>
        <w:tc>
          <w:tcPr>
            <w:tcW w:w="1316"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t>Значение характеристики не может изменяться участником закупки</w:t>
            </w:r>
          </w:p>
        </w:tc>
      </w:tr>
      <w:tr w:rsidR="005616F2" w:rsidTr="005616F2">
        <w:tc>
          <w:tcPr>
            <w:tcW w:w="0" w:type="auto"/>
            <w:vMerge/>
            <w:tcBorders>
              <w:top w:val="outset" w:sz="6" w:space="0" w:color="000000"/>
              <w:left w:val="outset" w:sz="6" w:space="0" w:color="000000"/>
              <w:bottom w:val="single" w:sz="4" w:space="0" w:color="000000"/>
              <w:right w:val="outset" w:sz="6" w:space="0" w:color="000000"/>
            </w:tcBorders>
            <w:vAlign w:val="center"/>
            <w:hideMark/>
          </w:tcPr>
          <w:p w:rsidR="005616F2" w:rsidRDefault="005616F2">
            <w:pPr>
              <w:widowControl/>
              <w:suppressAutoHyphens w:val="0"/>
              <w:spacing w:line="256" w:lineRule="auto"/>
              <w:rPr>
                <w:lang w:eastAsia="ru-RU"/>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5616F2" w:rsidRDefault="005616F2">
            <w:pPr>
              <w:widowControl/>
              <w:suppressAutoHyphens w:val="0"/>
              <w:spacing w:line="256" w:lineRule="auto"/>
              <w:rPr>
                <w:lang w:eastAsia="ru-RU"/>
              </w:rPr>
            </w:pPr>
          </w:p>
        </w:tc>
        <w:tc>
          <w:tcPr>
            <w:tcW w:w="1672" w:type="pct"/>
            <w:tcBorders>
              <w:top w:val="single" w:sz="4" w:space="0" w:color="auto"/>
              <w:left w:val="single" w:sz="4" w:space="0" w:color="auto"/>
              <w:bottom w:val="single" w:sz="4" w:space="0" w:color="auto"/>
              <w:right w:val="single" w:sz="4" w:space="0" w:color="auto"/>
            </w:tcBorders>
            <w:hideMark/>
          </w:tcPr>
          <w:p w:rsidR="005616F2" w:rsidRDefault="005616F2">
            <w:pPr>
              <w:spacing w:line="256" w:lineRule="auto"/>
              <w:ind w:left="93"/>
            </w:pPr>
            <w:r>
              <w:rPr>
                <w:color w:val="000000"/>
              </w:rPr>
              <w:t>Объем</w:t>
            </w:r>
          </w:p>
        </w:tc>
        <w:tc>
          <w:tcPr>
            <w:tcW w:w="483" w:type="pct"/>
            <w:tcBorders>
              <w:top w:val="single" w:sz="4" w:space="0" w:color="auto"/>
              <w:left w:val="nil"/>
              <w:bottom w:val="single" w:sz="4" w:space="0" w:color="auto"/>
              <w:right w:val="single" w:sz="4" w:space="0" w:color="auto"/>
            </w:tcBorders>
            <w:hideMark/>
          </w:tcPr>
          <w:p w:rsidR="005616F2" w:rsidRDefault="005616F2">
            <w:pPr>
              <w:spacing w:line="256" w:lineRule="auto"/>
              <w:jc w:val="center"/>
            </w:pPr>
            <w:r>
              <w:rPr>
                <w:color w:val="000000"/>
              </w:rPr>
              <w:t>≥ 20</w:t>
            </w:r>
          </w:p>
        </w:tc>
        <w:tc>
          <w:tcPr>
            <w:tcW w:w="489"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pPr>
            <w:r>
              <w:rPr>
                <w:lang w:eastAsia="ru-RU"/>
              </w:rPr>
              <w:t>Литр</w:t>
            </w:r>
          </w:p>
        </w:tc>
        <w:tc>
          <w:tcPr>
            <w:tcW w:w="1316"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pPr>
            <w:r>
              <w:rPr>
                <w:lang w:eastAsia="ru-RU"/>
              </w:rPr>
              <w:t>Участник закупки указывает в заявке конкретное значение характеристики</w:t>
            </w:r>
          </w:p>
        </w:tc>
      </w:tr>
      <w:tr w:rsidR="005616F2" w:rsidTr="005616F2">
        <w:trPr>
          <w:trHeight w:val="1389"/>
        </w:trPr>
        <w:tc>
          <w:tcPr>
            <w:tcW w:w="0" w:type="auto"/>
            <w:vMerge/>
            <w:tcBorders>
              <w:top w:val="outset" w:sz="6" w:space="0" w:color="000000"/>
              <w:left w:val="outset" w:sz="6" w:space="0" w:color="000000"/>
              <w:bottom w:val="single" w:sz="4" w:space="0" w:color="000000"/>
              <w:right w:val="outset" w:sz="6" w:space="0" w:color="000000"/>
            </w:tcBorders>
            <w:vAlign w:val="center"/>
            <w:hideMark/>
          </w:tcPr>
          <w:p w:rsidR="005616F2" w:rsidRDefault="005616F2">
            <w:pPr>
              <w:widowControl/>
              <w:suppressAutoHyphens w:val="0"/>
              <w:spacing w:line="256" w:lineRule="auto"/>
              <w:rPr>
                <w:lang w:eastAsia="ru-RU"/>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5616F2" w:rsidRDefault="005616F2">
            <w:pPr>
              <w:widowControl/>
              <w:suppressAutoHyphens w:val="0"/>
              <w:spacing w:line="256" w:lineRule="auto"/>
              <w:rPr>
                <w:lang w:eastAsia="ru-RU"/>
              </w:rPr>
            </w:pPr>
          </w:p>
        </w:tc>
        <w:tc>
          <w:tcPr>
            <w:tcW w:w="1672" w:type="pct"/>
            <w:tcBorders>
              <w:top w:val="single" w:sz="4" w:space="0" w:color="auto"/>
              <w:left w:val="single" w:sz="4" w:space="0" w:color="auto"/>
              <w:bottom w:val="single" w:sz="4" w:space="0" w:color="000000"/>
              <w:right w:val="single" w:sz="4" w:space="0" w:color="auto"/>
            </w:tcBorders>
            <w:hideMark/>
          </w:tcPr>
          <w:p w:rsidR="005616F2" w:rsidRDefault="005616F2">
            <w:pPr>
              <w:spacing w:line="256" w:lineRule="auto"/>
              <w:ind w:left="93"/>
              <w:rPr>
                <w:b/>
                <w:lang w:eastAsia="ru-RU"/>
              </w:rPr>
            </w:pPr>
            <w:r>
              <w:rPr>
                <w:b/>
                <w:color w:val="000000"/>
              </w:rPr>
              <w:t xml:space="preserve">Совместим с имеющимся у Заказчика анализатором гематологическим </w:t>
            </w:r>
            <w:proofErr w:type="spellStart"/>
            <w:r>
              <w:rPr>
                <w:b/>
                <w:color w:val="000000"/>
              </w:rPr>
              <w:t>Sysmex</w:t>
            </w:r>
            <w:proofErr w:type="spellEnd"/>
            <w:r>
              <w:rPr>
                <w:b/>
                <w:color w:val="000000"/>
              </w:rPr>
              <w:t xml:space="preserve"> XS (вариант исполнения</w:t>
            </w:r>
            <w:r>
              <w:rPr>
                <w:b/>
                <w:bCs/>
                <w:color w:val="000000"/>
              </w:rPr>
              <w:t xml:space="preserve"> </w:t>
            </w:r>
            <w:r>
              <w:rPr>
                <w:b/>
                <w:color w:val="000000"/>
              </w:rPr>
              <w:t>XS-500i), производитель «</w:t>
            </w:r>
            <w:proofErr w:type="spellStart"/>
            <w:r>
              <w:rPr>
                <w:b/>
                <w:color w:val="000000"/>
              </w:rPr>
              <w:t>Сисмекс</w:t>
            </w:r>
            <w:proofErr w:type="spellEnd"/>
            <w:r>
              <w:rPr>
                <w:b/>
                <w:color w:val="000000"/>
              </w:rPr>
              <w:t xml:space="preserve"> </w:t>
            </w:r>
            <w:proofErr w:type="spellStart"/>
            <w:r>
              <w:rPr>
                <w:b/>
                <w:color w:val="000000"/>
              </w:rPr>
              <w:t>Корпорейшн</w:t>
            </w:r>
            <w:proofErr w:type="spellEnd"/>
            <w:r>
              <w:rPr>
                <w:b/>
                <w:color w:val="000000"/>
              </w:rPr>
              <w:t>», Япония</w:t>
            </w:r>
          </w:p>
        </w:tc>
        <w:tc>
          <w:tcPr>
            <w:tcW w:w="483" w:type="pct"/>
            <w:tcBorders>
              <w:top w:val="single" w:sz="4" w:space="0" w:color="auto"/>
              <w:left w:val="nil"/>
              <w:bottom w:val="single" w:sz="4" w:space="0" w:color="000000"/>
              <w:right w:val="single" w:sz="4" w:space="0" w:color="auto"/>
            </w:tcBorders>
            <w:hideMark/>
          </w:tcPr>
          <w:p w:rsidR="005616F2" w:rsidRDefault="005616F2">
            <w:pPr>
              <w:spacing w:line="256" w:lineRule="auto"/>
              <w:jc w:val="center"/>
              <w:rPr>
                <w:lang w:val="en-US" w:eastAsia="ru-RU"/>
              </w:rPr>
            </w:pPr>
            <w:r>
              <w:rPr>
                <w:color w:val="000000"/>
              </w:rPr>
              <w:t>Соответствие</w:t>
            </w:r>
          </w:p>
        </w:tc>
        <w:tc>
          <w:tcPr>
            <w:tcW w:w="489" w:type="pct"/>
            <w:tcBorders>
              <w:top w:val="single" w:sz="4" w:space="0" w:color="000000"/>
              <w:left w:val="single" w:sz="4" w:space="0" w:color="000000"/>
              <w:bottom w:val="single" w:sz="4" w:space="0" w:color="000000"/>
              <w:right w:val="single" w:sz="4" w:space="0" w:color="000000"/>
            </w:tcBorders>
          </w:tcPr>
          <w:p w:rsidR="005616F2" w:rsidRDefault="005616F2">
            <w:pPr>
              <w:spacing w:line="256" w:lineRule="auto"/>
              <w:jc w:val="center"/>
              <w:rPr>
                <w:lang w:val="en-US" w:eastAsia="ru-RU"/>
              </w:rPr>
            </w:pPr>
          </w:p>
        </w:tc>
        <w:tc>
          <w:tcPr>
            <w:tcW w:w="1316"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t>Значение характеристики не может изменяться участником закупки</w:t>
            </w:r>
          </w:p>
        </w:tc>
      </w:tr>
      <w:tr w:rsidR="005616F2" w:rsidTr="005616F2">
        <w:trPr>
          <w:trHeight w:val="354"/>
        </w:trPr>
        <w:tc>
          <w:tcPr>
            <w:tcW w:w="206" w:type="pct"/>
            <w:vMerge w:val="restart"/>
            <w:tcBorders>
              <w:top w:val="outset" w:sz="6" w:space="0" w:color="000000"/>
              <w:left w:val="outset" w:sz="6" w:space="0" w:color="000000"/>
              <w:bottom w:val="single" w:sz="4" w:space="0" w:color="000000"/>
              <w:right w:val="outset" w:sz="6" w:space="0" w:color="000000"/>
            </w:tcBorders>
            <w:hideMark/>
          </w:tcPr>
          <w:p w:rsidR="005616F2" w:rsidRDefault="005616F2">
            <w:pPr>
              <w:spacing w:line="256" w:lineRule="auto"/>
              <w:jc w:val="center"/>
              <w:rPr>
                <w:lang w:eastAsia="ru-RU"/>
              </w:rPr>
            </w:pPr>
            <w:r>
              <w:rPr>
                <w:lang w:eastAsia="ru-RU"/>
              </w:rPr>
              <w:t>2</w:t>
            </w:r>
          </w:p>
        </w:tc>
        <w:tc>
          <w:tcPr>
            <w:tcW w:w="834" w:type="pct"/>
            <w:vMerge w:val="restart"/>
            <w:tcBorders>
              <w:top w:val="outset" w:sz="6" w:space="0" w:color="000000"/>
              <w:left w:val="outset" w:sz="6" w:space="0" w:color="000000"/>
              <w:bottom w:val="outset" w:sz="6" w:space="0" w:color="000000"/>
              <w:right w:val="outset" w:sz="6" w:space="0" w:color="000000"/>
            </w:tcBorders>
            <w:hideMark/>
          </w:tcPr>
          <w:p w:rsidR="005616F2" w:rsidRDefault="005616F2">
            <w:pPr>
              <w:spacing w:line="256" w:lineRule="auto"/>
              <w:jc w:val="center"/>
              <w:rPr>
                <w:lang w:eastAsia="ru-RU"/>
              </w:rPr>
            </w:pPr>
            <w:proofErr w:type="spellStart"/>
            <w:r>
              <w:rPr>
                <w:lang w:eastAsia="ru-RU"/>
              </w:rPr>
              <w:t>Лизирующий</w:t>
            </w:r>
            <w:proofErr w:type="spellEnd"/>
            <w:r>
              <w:rPr>
                <w:lang w:eastAsia="ru-RU"/>
              </w:rPr>
              <w:t xml:space="preserve"> реагент</w:t>
            </w:r>
          </w:p>
        </w:tc>
        <w:tc>
          <w:tcPr>
            <w:tcW w:w="1672" w:type="pct"/>
            <w:tcBorders>
              <w:top w:val="single" w:sz="4" w:space="0" w:color="auto"/>
              <w:left w:val="single" w:sz="4" w:space="0" w:color="auto"/>
              <w:bottom w:val="single" w:sz="4" w:space="0" w:color="auto"/>
              <w:right w:val="single" w:sz="4" w:space="0" w:color="auto"/>
            </w:tcBorders>
            <w:hideMark/>
          </w:tcPr>
          <w:p w:rsidR="005616F2" w:rsidRDefault="005616F2">
            <w:pPr>
              <w:spacing w:line="256" w:lineRule="auto"/>
              <w:ind w:left="93"/>
              <w:rPr>
                <w:lang w:eastAsia="ru-RU"/>
              </w:rPr>
            </w:pPr>
            <w:r>
              <w:rPr>
                <w:color w:val="000000"/>
              </w:rPr>
              <w:t>Реагент осуществляет лизис эритроцитов (RBC) при проведении дифференциального подсчета по 4 параметрам (</w:t>
            </w:r>
            <w:proofErr w:type="spellStart"/>
            <w:r>
              <w:rPr>
                <w:color w:val="000000"/>
              </w:rPr>
              <w:t>Lymph</w:t>
            </w:r>
            <w:proofErr w:type="spellEnd"/>
            <w:r>
              <w:rPr>
                <w:color w:val="000000"/>
              </w:rPr>
              <w:t xml:space="preserve">, </w:t>
            </w:r>
            <w:proofErr w:type="spellStart"/>
            <w:r>
              <w:rPr>
                <w:color w:val="000000"/>
              </w:rPr>
              <w:t>Mono</w:t>
            </w:r>
            <w:proofErr w:type="spellEnd"/>
            <w:r>
              <w:rPr>
                <w:color w:val="000000"/>
              </w:rPr>
              <w:t xml:space="preserve">, </w:t>
            </w:r>
            <w:proofErr w:type="spellStart"/>
            <w:r>
              <w:rPr>
                <w:color w:val="000000"/>
              </w:rPr>
              <w:t>Eo</w:t>
            </w:r>
            <w:proofErr w:type="spellEnd"/>
            <w:r>
              <w:rPr>
                <w:color w:val="000000"/>
              </w:rPr>
              <w:t xml:space="preserve">, </w:t>
            </w:r>
            <w:proofErr w:type="spellStart"/>
            <w:r>
              <w:rPr>
                <w:color w:val="000000"/>
              </w:rPr>
              <w:t>Neut</w:t>
            </w:r>
            <w:proofErr w:type="spellEnd"/>
            <w:r>
              <w:rPr>
                <w:color w:val="000000"/>
              </w:rPr>
              <w:t xml:space="preserve"> + </w:t>
            </w:r>
            <w:proofErr w:type="spellStart"/>
            <w:r>
              <w:rPr>
                <w:color w:val="000000"/>
              </w:rPr>
              <w:t>Baso</w:t>
            </w:r>
            <w:proofErr w:type="spellEnd"/>
            <w:r>
              <w:rPr>
                <w:color w:val="000000"/>
              </w:rPr>
              <w:t>) методом измерения сопротивления и фотометрическим методом</w:t>
            </w:r>
          </w:p>
        </w:tc>
        <w:tc>
          <w:tcPr>
            <w:tcW w:w="483" w:type="pct"/>
            <w:tcBorders>
              <w:top w:val="single" w:sz="4" w:space="0" w:color="auto"/>
              <w:left w:val="nil"/>
              <w:bottom w:val="single" w:sz="4" w:space="0" w:color="auto"/>
              <w:right w:val="single" w:sz="4" w:space="0" w:color="auto"/>
            </w:tcBorders>
            <w:hideMark/>
          </w:tcPr>
          <w:p w:rsidR="005616F2" w:rsidRDefault="005616F2">
            <w:pPr>
              <w:spacing w:line="256" w:lineRule="auto"/>
              <w:jc w:val="center"/>
              <w:rPr>
                <w:lang w:eastAsia="ru-RU"/>
              </w:rPr>
            </w:pPr>
            <w:r>
              <w:rPr>
                <w:color w:val="000000"/>
              </w:rPr>
              <w:t>Соответствие</w:t>
            </w:r>
          </w:p>
        </w:tc>
        <w:tc>
          <w:tcPr>
            <w:tcW w:w="489" w:type="pct"/>
            <w:tcBorders>
              <w:top w:val="single" w:sz="4" w:space="0" w:color="000000"/>
              <w:left w:val="single" w:sz="4" w:space="0" w:color="000000"/>
              <w:bottom w:val="single" w:sz="4" w:space="0" w:color="000000"/>
              <w:right w:val="single" w:sz="4" w:space="0" w:color="000000"/>
            </w:tcBorders>
          </w:tcPr>
          <w:p w:rsidR="005616F2" w:rsidRDefault="005616F2">
            <w:pPr>
              <w:spacing w:line="256" w:lineRule="auto"/>
              <w:jc w:val="center"/>
              <w:rPr>
                <w:lang w:eastAsia="ru-RU"/>
              </w:rPr>
            </w:pPr>
          </w:p>
        </w:tc>
        <w:tc>
          <w:tcPr>
            <w:tcW w:w="1316"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t>Значение характеристики не может изменяться участником закупки</w:t>
            </w:r>
          </w:p>
        </w:tc>
      </w:tr>
      <w:tr w:rsidR="005616F2" w:rsidTr="005616F2">
        <w:tc>
          <w:tcPr>
            <w:tcW w:w="0" w:type="auto"/>
            <w:vMerge/>
            <w:tcBorders>
              <w:top w:val="outset" w:sz="6" w:space="0" w:color="000000"/>
              <w:left w:val="outset" w:sz="6" w:space="0" w:color="000000"/>
              <w:bottom w:val="single" w:sz="4" w:space="0" w:color="000000"/>
              <w:right w:val="outset" w:sz="6" w:space="0" w:color="000000"/>
            </w:tcBorders>
            <w:vAlign w:val="center"/>
            <w:hideMark/>
          </w:tcPr>
          <w:p w:rsidR="005616F2" w:rsidRDefault="005616F2">
            <w:pPr>
              <w:widowControl/>
              <w:suppressAutoHyphens w:val="0"/>
              <w:spacing w:line="256" w:lineRule="auto"/>
              <w:rPr>
                <w:lang w:eastAsia="ru-RU"/>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5616F2" w:rsidRDefault="005616F2">
            <w:pPr>
              <w:widowControl/>
              <w:suppressAutoHyphens w:val="0"/>
              <w:spacing w:line="256" w:lineRule="auto"/>
              <w:rPr>
                <w:lang w:eastAsia="ru-RU"/>
              </w:rPr>
            </w:pPr>
          </w:p>
        </w:tc>
        <w:tc>
          <w:tcPr>
            <w:tcW w:w="1672" w:type="pct"/>
            <w:tcBorders>
              <w:top w:val="single" w:sz="4" w:space="0" w:color="auto"/>
              <w:left w:val="single" w:sz="4" w:space="0" w:color="auto"/>
              <w:bottom w:val="single" w:sz="4" w:space="0" w:color="auto"/>
              <w:right w:val="single" w:sz="4" w:space="0" w:color="auto"/>
            </w:tcBorders>
            <w:hideMark/>
          </w:tcPr>
          <w:p w:rsidR="005616F2" w:rsidRDefault="005616F2">
            <w:pPr>
              <w:spacing w:line="256" w:lineRule="auto"/>
              <w:ind w:left="93"/>
              <w:rPr>
                <w:lang w:val="en-US" w:eastAsia="ru-RU"/>
              </w:rPr>
            </w:pPr>
            <w:r>
              <w:rPr>
                <w:color w:val="000000"/>
              </w:rPr>
              <w:t>Объем</w:t>
            </w:r>
          </w:p>
        </w:tc>
        <w:tc>
          <w:tcPr>
            <w:tcW w:w="483" w:type="pct"/>
            <w:tcBorders>
              <w:top w:val="single" w:sz="4" w:space="0" w:color="auto"/>
              <w:left w:val="nil"/>
              <w:bottom w:val="single" w:sz="4" w:space="0" w:color="auto"/>
              <w:right w:val="single" w:sz="4" w:space="0" w:color="auto"/>
            </w:tcBorders>
            <w:hideMark/>
          </w:tcPr>
          <w:p w:rsidR="005616F2" w:rsidRDefault="005616F2">
            <w:pPr>
              <w:spacing w:line="256" w:lineRule="auto"/>
              <w:jc w:val="center"/>
              <w:rPr>
                <w:lang w:val="en-US" w:eastAsia="ru-RU"/>
              </w:rPr>
            </w:pPr>
            <w:r>
              <w:rPr>
                <w:i/>
                <w:iCs/>
                <w:color w:val="000000"/>
              </w:rPr>
              <w:t xml:space="preserve">≥ </w:t>
            </w:r>
            <w:r>
              <w:rPr>
                <w:color w:val="000000"/>
              </w:rPr>
              <w:t>5</w:t>
            </w:r>
          </w:p>
        </w:tc>
        <w:tc>
          <w:tcPr>
            <w:tcW w:w="489"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val="en-US" w:eastAsia="ru-RU"/>
              </w:rPr>
            </w:pPr>
            <w:r>
              <w:rPr>
                <w:lang w:eastAsia="ru-RU"/>
              </w:rPr>
              <w:t>Литр</w:t>
            </w:r>
          </w:p>
        </w:tc>
        <w:tc>
          <w:tcPr>
            <w:tcW w:w="1316"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t>Участник закупки указывает в заявке конкретное значение характеристики</w:t>
            </w:r>
          </w:p>
        </w:tc>
      </w:tr>
      <w:tr w:rsidR="005616F2" w:rsidTr="005616F2">
        <w:trPr>
          <w:trHeight w:val="1439"/>
        </w:trPr>
        <w:tc>
          <w:tcPr>
            <w:tcW w:w="0" w:type="auto"/>
            <w:vMerge/>
            <w:tcBorders>
              <w:top w:val="outset" w:sz="6" w:space="0" w:color="000000"/>
              <w:left w:val="outset" w:sz="6" w:space="0" w:color="000000"/>
              <w:bottom w:val="single" w:sz="4" w:space="0" w:color="000000"/>
              <w:right w:val="outset" w:sz="6" w:space="0" w:color="000000"/>
            </w:tcBorders>
            <w:vAlign w:val="center"/>
            <w:hideMark/>
          </w:tcPr>
          <w:p w:rsidR="005616F2" w:rsidRDefault="005616F2">
            <w:pPr>
              <w:widowControl/>
              <w:suppressAutoHyphens w:val="0"/>
              <w:spacing w:line="256" w:lineRule="auto"/>
              <w:rPr>
                <w:lang w:eastAsia="ru-RU"/>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5616F2" w:rsidRDefault="005616F2">
            <w:pPr>
              <w:widowControl/>
              <w:suppressAutoHyphens w:val="0"/>
              <w:spacing w:line="256" w:lineRule="auto"/>
              <w:rPr>
                <w:lang w:eastAsia="ru-RU"/>
              </w:rPr>
            </w:pPr>
          </w:p>
        </w:tc>
        <w:tc>
          <w:tcPr>
            <w:tcW w:w="1672" w:type="pct"/>
            <w:tcBorders>
              <w:top w:val="single" w:sz="4" w:space="0" w:color="auto"/>
              <w:left w:val="single" w:sz="4" w:space="0" w:color="auto"/>
              <w:bottom w:val="single" w:sz="4" w:space="0" w:color="000000"/>
              <w:right w:val="single" w:sz="4" w:space="0" w:color="auto"/>
            </w:tcBorders>
            <w:hideMark/>
          </w:tcPr>
          <w:p w:rsidR="005616F2" w:rsidRDefault="005616F2">
            <w:pPr>
              <w:spacing w:line="256" w:lineRule="auto"/>
              <w:ind w:left="93"/>
              <w:rPr>
                <w:b/>
                <w:lang w:eastAsia="ru-RU"/>
              </w:rPr>
            </w:pPr>
            <w:r>
              <w:rPr>
                <w:b/>
                <w:color w:val="000000"/>
              </w:rPr>
              <w:t xml:space="preserve">Совместим с имеющимся у Заказчика анализатором гематологическим </w:t>
            </w:r>
            <w:proofErr w:type="spellStart"/>
            <w:r>
              <w:rPr>
                <w:b/>
                <w:color w:val="000000"/>
              </w:rPr>
              <w:t>Sysmex</w:t>
            </w:r>
            <w:proofErr w:type="spellEnd"/>
            <w:r>
              <w:rPr>
                <w:b/>
                <w:color w:val="000000"/>
              </w:rPr>
              <w:t xml:space="preserve"> XS (вариант </w:t>
            </w:r>
            <w:r>
              <w:rPr>
                <w:b/>
                <w:color w:val="000000"/>
              </w:rPr>
              <w:lastRenderedPageBreak/>
              <w:t>исполнения</w:t>
            </w:r>
            <w:r>
              <w:rPr>
                <w:b/>
                <w:bCs/>
                <w:color w:val="000000"/>
              </w:rPr>
              <w:t xml:space="preserve"> </w:t>
            </w:r>
            <w:r>
              <w:rPr>
                <w:b/>
                <w:color w:val="000000"/>
              </w:rPr>
              <w:t>XS-500i), производитель «</w:t>
            </w:r>
            <w:proofErr w:type="spellStart"/>
            <w:r>
              <w:rPr>
                <w:b/>
                <w:color w:val="000000"/>
              </w:rPr>
              <w:t>Сисмекс</w:t>
            </w:r>
            <w:proofErr w:type="spellEnd"/>
            <w:r>
              <w:rPr>
                <w:b/>
                <w:color w:val="000000"/>
              </w:rPr>
              <w:t xml:space="preserve"> </w:t>
            </w:r>
            <w:proofErr w:type="spellStart"/>
            <w:r>
              <w:rPr>
                <w:b/>
                <w:color w:val="000000"/>
              </w:rPr>
              <w:t>Корпорейшн</w:t>
            </w:r>
            <w:proofErr w:type="spellEnd"/>
            <w:r>
              <w:rPr>
                <w:b/>
                <w:color w:val="000000"/>
              </w:rPr>
              <w:t>», Япония</w:t>
            </w:r>
          </w:p>
        </w:tc>
        <w:tc>
          <w:tcPr>
            <w:tcW w:w="483" w:type="pct"/>
            <w:tcBorders>
              <w:top w:val="single" w:sz="4" w:space="0" w:color="auto"/>
              <w:left w:val="nil"/>
              <w:bottom w:val="single" w:sz="4" w:space="0" w:color="000000"/>
              <w:right w:val="single" w:sz="4" w:space="0" w:color="auto"/>
            </w:tcBorders>
            <w:hideMark/>
          </w:tcPr>
          <w:p w:rsidR="005616F2" w:rsidRDefault="005616F2">
            <w:pPr>
              <w:spacing w:line="256" w:lineRule="auto"/>
              <w:jc w:val="center"/>
              <w:rPr>
                <w:lang w:eastAsia="ru-RU"/>
              </w:rPr>
            </w:pPr>
            <w:r>
              <w:rPr>
                <w:color w:val="000000"/>
              </w:rPr>
              <w:lastRenderedPageBreak/>
              <w:t>Соответствие</w:t>
            </w:r>
          </w:p>
        </w:tc>
        <w:tc>
          <w:tcPr>
            <w:tcW w:w="489" w:type="pct"/>
            <w:tcBorders>
              <w:top w:val="single" w:sz="4" w:space="0" w:color="000000"/>
              <w:left w:val="single" w:sz="4" w:space="0" w:color="000000"/>
              <w:bottom w:val="single" w:sz="4" w:space="0" w:color="000000"/>
              <w:right w:val="single" w:sz="4" w:space="0" w:color="000000"/>
            </w:tcBorders>
          </w:tcPr>
          <w:p w:rsidR="005616F2" w:rsidRDefault="005616F2">
            <w:pPr>
              <w:spacing w:line="256" w:lineRule="auto"/>
              <w:jc w:val="center"/>
              <w:rPr>
                <w:lang w:val="en-US" w:eastAsia="ru-RU"/>
              </w:rPr>
            </w:pPr>
          </w:p>
        </w:tc>
        <w:tc>
          <w:tcPr>
            <w:tcW w:w="1316"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t>Значение характеристики не может изменяться участником закупки</w:t>
            </w:r>
          </w:p>
        </w:tc>
      </w:tr>
      <w:tr w:rsidR="005616F2" w:rsidTr="005616F2">
        <w:tc>
          <w:tcPr>
            <w:tcW w:w="206" w:type="pct"/>
            <w:vMerge w:val="restart"/>
            <w:tcBorders>
              <w:top w:val="outset" w:sz="6" w:space="0" w:color="000000"/>
              <w:left w:val="outset" w:sz="6" w:space="0" w:color="000000"/>
              <w:bottom w:val="single" w:sz="4" w:space="0" w:color="000000"/>
              <w:right w:val="outset" w:sz="6" w:space="0" w:color="000000"/>
            </w:tcBorders>
            <w:hideMark/>
          </w:tcPr>
          <w:p w:rsidR="005616F2" w:rsidRDefault="005616F2">
            <w:pPr>
              <w:spacing w:line="256" w:lineRule="auto"/>
              <w:jc w:val="center"/>
              <w:rPr>
                <w:lang w:eastAsia="ru-RU"/>
              </w:rPr>
            </w:pPr>
            <w:r>
              <w:rPr>
                <w:lang w:eastAsia="ru-RU"/>
              </w:rPr>
              <w:lastRenderedPageBreak/>
              <w:t>3</w:t>
            </w:r>
          </w:p>
        </w:tc>
        <w:tc>
          <w:tcPr>
            <w:tcW w:w="834" w:type="pct"/>
            <w:vMerge w:val="restart"/>
            <w:tcBorders>
              <w:top w:val="outset" w:sz="6" w:space="0" w:color="000000"/>
              <w:left w:val="outset" w:sz="6" w:space="0" w:color="000000"/>
              <w:bottom w:val="outset" w:sz="6" w:space="0" w:color="000000"/>
              <w:right w:val="outset" w:sz="6" w:space="0" w:color="000000"/>
            </w:tcBorders>
            <w:hideMark/>
          </w:tcPr>
          <w:p w:rsidR="005616F2" w:rsidRDefault="005616F2">
            <w:pPr>
              <w:spacing w:line="256" w:lineRule="auto"/>
              <w:jc w:val="center"/>
              <w:rPr>
                <w:lang w:eastAsia="ru-RU"/>
              </w:rPr>
            </w:pPr>
            <w:r>
              <w:rPr>
                <w:lang w:eastAsia="ru-RU"/>
              </w:rPr>
              <w:t>Флуоресцентный краситель</w:t>
            </w:r>
          </w:p>
        </w:tc>
        <w:tc>
          <w:tcPr>
            <w:tcW w:w="1672" w:type="pct"/>
            <w:tcBorders>
              <w:top w:val="single" w:sz="4" w:space="0" w:color="auto"/>
              <w:left w:val="single" w:sz="4" w:space="0" w:color="auto"/>
              <w:bottom w:val="single" w:sz="4" w:space="0" w:color="auto"/>
              <w:right w:val="single" w:sz="4" w:space="0" w:color="auto"/>
            </w:tcBorders>
            <w:hideMark/>
          </w:tcPr>
          <w:p w:rsidR="005616F2" w:rsidRDefault="005616F2">
            <w:pPr>
              <w:spacing w:line="256" w:lineRule="auto"/>
              <w:ind w:left="93"/>
              <w:rPr>
                <w:lang w:eastAsia="ru-RU"/>
              </w:rPr>
            </w:pPr>
            <w:r>
              <w:rPr>
                <w:color w:val="000000"/>
              </w:rPr>
              <w:t xml:space="preserve">Назначение: для окрашивания лейкоцитов в образцах разведенной и </w:t>
            </w:r>
            <w:proofErr w:type="spellStart"/>
            <w:r>
              <w:rPr>
                <w:color w:val="000000"/>
              </w:rPr>
              <w:t>лизированной</w:t>
            </w:r>
            <w:proofErr w:type="spellEnd"/>
            <w:r>
              <w:rPr>
                <w:color w:val="000000"/>
              </w:rPr>
              <w:t xml:space="preserve"> крови. Представляет собой реагент, который в комбинации со специальным </w:t>
            </w:r>
            <w:proofErr w:type="spellStart"/>
            <w:r>
              <w:rPr>
                <w:color w:val="000000"/>
              </w:rPr>
              <w:t>лизирующим</w:t>
            </w:r>
            <w:proofErr w:type="spellEnd"/>
            <w:r>
              <w:rPr>
                <w:color w:val="000000"/>
              </w:rPr>
              <w:t xml:space="preserve"> раствором используется для классификации WBC методом проточной </w:t>
            </w:r>
            <w:proofErr w:type="spellStart"/>
            <w:r>
              <w:rPr>
                <w:color w:val="000000"/>
              </w:rPr>
              <w:t>цитометрии</w:t>
            </w:r>
            <w:proofErr w:type="spellEnd"/>
            <w:r>
              <w:rPr>
                <w:color w:val="000000"/>
              </w:rPr>
              <w:t xml:space="preserve"> с использованием полупроводникового лазера по 5 параметрам</w:t>
            </w:r>
          </w:p>
        </w:tc>
        <w:tc>
          <w:tcPr>
            <w:tcW w:w="483" w:type="pct"/>
            <w:tcBorders>
              <w:top w:val="single" w:sz="4" w:space="0" w:color="auto"/>
              <w:left w:val="nil"/>
              <w:bottom w:val="single" w:sz="4" w:space="0" w:color="auto"/>
              <w:right w:val="single" w:sz="4" w:space="0" w:color="auto"/>
            </w:tcBorders>
            <w:hideMark/>
          </w:tcPr>
          <w:p w:rsidR="005616F2" w:rsidRDefault="005616F2">
            <w:pPr>
              <w:spacing w:line="256" w:lineRule="auto"/>
              <w:jc w:val="center"/>
              <w:rPr>
                <w:lang w:eastAsia="ru-RU"/>
              </w:rPr>
            </w:pPr>
            <w:r>
              <w:rPr>
                <w:color w:val="000000"/>
              </w:rPr>
              <w:t>Соответствие</w:t>
            </w:r>
          </w:p>
        </w:tc>
        <w:tc>
          <w:tcPr>
            <w:tcW w:w="489" w:type="pct"/>
            <w:tcBorders>
              <w:top w:val="single" w:sz="4" w:space="0" w:color="000000"/>
              <w:left w:val="single" w:sz="4" w:space="0" w:color="000000"/>
              <w:bottom w:val="single" w:sz="4" w:space="0" w:color="000000"/>
              <w:right w:val="single" w:sz="4" w:space="0" w:color="000000"/>
            </w:tcBorders>
          </w:tcPr>
          <w:p w:rsidR="005616F2" w:rsidRDefault="005616F2">
            <w:pPr>
              <w:spacing w:line="256" w:lineRule="auto"/>
              <w:jc w:val="center"/>
              <w:rPr>
                <w:lang w:eastAsia="ru-RU"/>
              </w:rPr>
            </w:pPr>
          </w:p>
        </w:tc>
        <w:tc>
          <w:tcPr>
            <w:tcW w:w="1316"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t>Значение характеристики не может изменяться участником закупки</w:t>
            </w:r>
          </w:p>
        </w:tc>
      </w:tr>
      <w:tr w:rsidR="005616F2" w:rsidTr="005616F2">
        <w:tc>
          <w:tcPr>
            <w:tcW w:w="0" w:type="auto"/>
            <w:vMerge/>
            <w:tcBorders>
              <w:top w:val="outset" w:sz="6" w:space="0" w:color="000000"/>
              <w:left w:val="outset" w:sz="6" w:space="0" w:color="000000"/>
              <w:bottom w:val="single" w:sz="4" w:space="0" w:color="000000"/>
              <w:right w:val="outset" w:sz="6" w:space="0" w:color="000000"/>
            </w:tcBorders>
            <w:vAlign w:val="center"/>
            <w:hideMark/>
          </w:tcPr>
          <w:p w:rsidR="005616F2" w:rsidRDefault="005616F2">
            <w:pPr>
              <w:widowControl/>
              <w:suppressAutoHyphens w:val="0"/>
              <w:spacing w:line="256" w:lineRule="auto"/>
              <w:rPr>
                <w:lang w:eastAsia="ru-RU"/>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5616F2" w:rsidRDefault="005616F2">
            <w:pPr>
              <w:widowControl/>
              <w:suppressAutoHyphens w:val="0"/>
              <w:spacing w:line="256" w:lineRule="auto"/>
              <w:rPr>
                <w:lang w:eastAsia="ru-RU"/>
              </w:rPr>
            </w:pPr>
          </w:p>
        </w:tc>
        <w:tc>
          <w:tcPr>
            <w:tcW w:w="1672" w:type="pct"/>
            <w:tcBorders>
              <w:top w:val="single" w:sz="4" w:space="0" w:color="auto"/>
              <w:left w:val="single" w:sz="4" w:space="0" w:color="auto"/>
              <w:bottom w:val="single" w:sz="4" w:space="0" w:color="auto"/>
              <w:right w:val="single" w:sz="4" w:space="0" w:color="auto"/>
            </w:tcBorders>
            <w:hideMark/>
          </w:tcPr>
          <w:p w:rsidR="005616F2" w:rsidRDefault="005616F2">
            <w:pPr>
              <w:spacing w:line="256" w:lineRule="auto"/>
              <w:ind w:left="93"/>
              <w:rPr>
                <w:lang w:eastAsia="ru-RU"/>
              </w:rPr>
            </w:pPr>
            <w:r>
              <w:rPr>
                <w:color w:val="000000"/>
              </w:rPr>
              <w:t xml:space="preserve">Объем реагента в </w:t>
            </w:r>
            <w:r>
              <w:t>упаковке</w:t>
            </w:r>
          </w:p>
        </w:tc>
        <w:tc>
          <w:tcPr>
            <w:tcW w:w="483" w:type="pct"/>
            <w:tcBorders>
              <w:top w:val="single" w:sz="4" w:space="0" w:color="auto"/>
              <w:left w:val="nil"/>
              <w:bottom w:val="single" w:sz="4" w:space="0" w:color="auto"/>
              <w:right w:val="single" w:sz="4" w:space="0" w:color="auto"/>
            </w:tcBorders>
            <w:hideMark/>
          </w:tcPr>
          <w:p w:rsidR="005616F2" w:rsidRDefault="005616F2">
            <w:pPr>
              <w:spacing w:line="256" w:lineRule="auto"/>
              <w:jc w:val="center"/>
              <w:rPr>
                <w:lang w:val="en-US" w:eastAsia="ru-RU"/>
              </w:rPr>
            </w:pPr>
            <w:r>
              <w:rPr>
                <w:i/>
                <w:iCs/>
                <w:color w:val="000000"/>
              </w:rPr>
              <w:t xml:space="preserve">≥ </w:t>
            </w:r>
            <w:r>
              <w:rPr>
                <w:color w:val="000000"/>
              </w:rPr>
              <w:t>126</w:t>
            </w:r>
          </w:p>
        </w:tc>
        <w:tc>
          <w:tcPr>
            <w:tcW w:w="489" w:type="pct"/>
            <w:tcBorders>
              <w:top w:val="single" w:sz="4" w:space="0" w:color="000000"/>
              <w:left w:val="single" w:sz="4" w:space="0" w:color="000000"/>
              <w:bottom w:val="single" w:sz="4" w:space="0" w:color="000000"/>
              <w:right w:val="single" w:sz="4" w:space="0" w:color="000000"/>
            </w:tcBorders>
          </w:tcPr>
          <w:p w:rsidR="005616F2" w:rsidRDefault="005616F2">
            <w:pPr>
              <w:spacing w:line="256" w:lineRule="auto"/>
              <w:jc w:val="center"/>
              <w:rPr>
                <w:lang w:eastAsia="ru-RU"/>
              </w:rPr>
            </w:pPr>
            <w:r>
              <w:rPr>
                <w:lang w:eastAsia="ru-RU"/>
              </w:rPr>
              <w:t>Миллилитр</w:t>
            </w:r>
          </w:p>
          <w:p w:rsidR="005616F2" w:rsidRDefault="005616F2">
            <w:pPr>
              <w:spacing w:line="256" w:lineRule="auto"/>
              <w:jc w:val="center"/>
              <w:rPr>
                <w:lang w:val="en-US" w:eastAsia="ru-RU"/>
              </w:rPr>
            </w:pPr>
          </w:p>
        </w:tc>
        <w:tc>
          <w:tcPr>
            <w:tcW w:w="1316"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t>Участник закупки указывает в заявке конкретное значение характеристики</w:t>
            </w:r>
          </w:p>
        </w:tc>
      </w:tr>
      <w:tr w:rsidR="005616F2" w:rsidTr="005616F2">
        <w:trPr>
          <w:trHeight w:val="1268"/>
        </w:trPr>
        <w:tc>
          <w:tcPr>
            <w:tcW w:w="0" w:type="auto"/>
            <w:vMerge/>
            <w:tcBorders>
              <w:top w:val="outset" w:sz="6" w:space="0" w:color="000000"/>
              <w:left w:val="outset" w:sz="6" w:space="0" w:color="000000"/>
              <w:bottom w:val="single" w:sz="4" w:space="0" w:color="000000"/>
              <w:right w:val="outset" w:sz="6" w:space="0" w:color="000000"/>
            </w:tcBorders>
            <w:vAlign w:val="center"/>
            <w:hideMark/>
          </w:tcPr>
          <w:p w:rsidR="005616F2" w:rsidRDefault="005616F2">
            <w:pPr>
              <w:widowControl/>
              <w:suppressAutoHyphens w:val="0"/>
              <w:spacing w:line="256" w:lineRule="auto"/>
              <w:rPr>
                <w:lang w:eastAsia="ru-RU"/>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5616F2" w:rsidRDefault="005616F2">
            <w:pPr>
              <w:widowControl/>
              <w:suppressAutoHyphens w:val="0"/>
              <w:spacing w:line="256" w:lineRule="auto"/>
              <w:rPr>
                <w:lang w:eastAsia="ru-RU"/>
              </w:rPr>
            </w:pPr>
          </w:p>
        </w:tc>
        <w:tc>
          <w:tcPr>
            <w:tcW w:w="1672" w:type="pct"/>
            <w:tcBorders>
              <w:top w:val="single" w:sz="4" w:space="0" w:color="auto"/>
              <w:left w:val="single" w:sz="4" w:space="0" w:color="auto"/>
              <w:bottom w:val="single" w:sz="4" w:space="0" w:color="000000"/>
              <w:right w:val="single" w:sz="4" w:space="0" w:color="auto"/>
            </w:tcBorders>
            <w:hideMark/>
          </w:tcPr>
          <w:p w:rsidR="005616F2" w:rsidRDefault="005616F2">
            <w:pPr>
              <w:spacing w:line="256" w:lineRule="auto"/>
              <w:rPr>
                <w:b/>
                <w:lang w:eastAsia="ru-RU"/>
              </w:rPr>
            </w:pPr>
            <w:r>
              <w:rPr>
                <w:b/>
                <w:color w:val="000000"/>
              </w:rPr>
              <w:t xml:space="preserve">Совместим с имеющимся у Заказчика анализатором гематологическим </w:t>
            </w:r>
            <w:proofErr w:type="spellStart"/>
            <w:r>
              <w:rPr>
                <w:b/>
                <w:color w:val="000000"/>
              </w:rPr>
              <w:t>Sysmex</w:t>
            </w:r>
            <w:proofErr w:type="spellEnd"/>
            <w:r>
              <w:rPr>
                <w:b/>
                <w:color w:val="000000"/>
              </w:rPr>
              <w:t xml:space="preserve"> XS (вариант исполнения</w:t>
            </w:r>
            <w:r>
              <w:rPr>
                <w:b/>
                <w:bCs/>
                <w:color w:val="000000"/>
              </w:rPr>
              <w:t xml:space="preserve"> </w:t>
            </w:r>
            <w:r>
              <w:rPr>
                <w:b/>
                <w:color w:val="000000"/>
              </w:rPr>
              <w:t>XS-500i), производитель «</w:t>
            </w:r>
            <w:proofErr w:type="spellStart"/>
            <w:r>
              <w:rPr>
                <w:b/>
                <w:color w:val="000000"/>
              </w:rPr>
              <w:t>Сисмекс</w:t>
            </w:r>
            <w:proofErr w:type="spellEnd"/>
            <w:r>
              <w:rPr>
                <w:b/>
                <w:color w:val="000000"/>
              </w:rPr>
              <w:t xml:space="preserve"> </w:t>
            </w:r>
            <w:proofErr w:type="spellStart"/>
            <w:r>
              <w:rPr>
                <w:b/>
                <w:color w:val="000000"/>
              </w:rPr>
              <w:t>Корпорейшн</w:t>
            </w:r>
            <w:proofErr w:type="spellEnd"/>
            <w:r>
              <w:rPr>
                <w:b/>
                <w:color w:val="000000"/>
              </w:rPr>
              <w:t>», Япония</w:t>
            </w:r>
          </w:p>
        </w:tc>
        <w:tc>
          <w:tcPr>
            <w:tcW w:w="483" w:type="pct"/>
            <w:tcBorders>
              <w:top w:val="single" w:sz="4" w:space="0" w:color="auto"/>
              <w:left w:val="nil"/>
              <w:bottom w:val="single" w:sz="4" w:space="0" w:color="000000"/>
              <w:right w:val="single" w:sz="4" w:space="0" w:color="auto"/>
            </w:tcBorders>
            <w:hideMark/>
          </w:tcPr>
          <w:p w:rsidR="005616F2" w:rsidRDefault="005616F2">
            <w:pPr>
              <w:spacing w:line="256" w:lineRule="auto"/>
              <w:jc w:val="center"/>
              <w:rPr>
                <w:lang w:eastAsia="ru-RU"/>
              </w:rPr>
            </w:pPr>
            <w:r>
              <w:rPr>
                <w:color w:val="000000"/>
              </w:rPr>
              <w:t>Соответствие</w:t>
            </w:r>
          </w:p>
        </w:tc>
        <w:tc>
          <w:tcPr>
            <w:tcW w:w="489" w:type="pct"/>
            <w:tcBorders>
              <w:top w:val="single" w:sz="4" w:space="0" w:color="000000"/>
              <w:left w:val="single" w:sz="4" w:space="0" w:color="000000"/>
              <w:bottom w:val="single" w:sz="4" w:space="0" w:color="000000"/>
              <w:right w:val="single" w:sz="4" w:space="0" w:color="000000"/>
            </w:tcBorders>
          </w:tcPr>
          <w:p w:rsidR="005616F2" w:rsidRDefault="005616F2">
            <w:pPr>
              <w:spacing w:line="256" w:lineRule="auto"/>
              <w:jc w:val="center"/>
              <w:rPr>
                <w:lang w:val="en-US" w:eastAsia="ru-RU"/>
              </w:rPr>
            </w:pPr>
          </w:p>
        </w:tc>
        <w:tc>
          <w:tcPr>
            <w:tcW w:w="1316"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t>Значение характеристики не может изменяться участником закупки</w:t>
            </w:r>
          </w:p>
        </w:tc>
      </w:tr>
      <w:tr w:rsidR="005616F2" w:rsidTr="005616F2">
        <w:tc>
          <w:tcPr>
            <w:tcW w:w="206" w:type="pct"/>
            <w:vMerge w:val="restart"/>
            <w:tcBorders>
              <w:top w:val="outset" w:sz="6" w:space="0" w:color="000000"/>
              <w:left w:val="outset" w:sz="6" w:space="0" w:color="000000"/>
              <w:bottom w:val="single" w:sz="4" w:space="0" w:color="auto"/>
              <w:right w:val="outset" w:sz="6" w:space="0" w:color="000000"/>
            </w:tcBorders>
            <w:hideMark/>
          </w:tcPr>
          <w:p w:rsidR="005616F2" w:rsidRDefault="005616F2">
            <w:pPr>
              <w:spacing w:line="256" w:lineRule="auto"/>
              <w:jc w:val="center"/>
              <w:rPr>
                <w:lang w:eastAsia="ru-RU"/>
              </w:rPr>
            </w:pPr>
            <w:r>
              <w:rPr>
                <w:lang w:eastAsia="ru-RU"/>
              </w:rPr>
              <w:t>4</w:t>
            </w:r>
          </w:p>
        </w:tc>
        <w:tc>
          <w:tcPr>
            <w:tcW w:w="834" w:type="pct"/>
            <w:vMerge w:val="restart"/>
            <w:tcBorders>
              <w:top w:val="outset" w:sz="6" w:space="0" w:color="000000"/>
              <w:left w:val="outset" w:sz="6" w:space="0" w:color="000000"/>
              <w:bottom w:val="single" w:sz="4" w:space="0" w:color="auto"/>
              <w:right w:val="outset" w:sz="6" w:space="0" w:color="000000"/>
            </w:tcBorders>
            <w:hideMark/>
          </w:tcPr>
          <w:p w:rsidR="005616F2" w:rsidRDefault="005616F2">
            <w:pPr>
              <w:spacing w:line="256" w:lineRule="auto"/>
              <w:jc w:val="center"/>
              <w:rPr>
                <w:lang w:eastAsia="ru-RU"/>
              </w:rPr>
            </w:pPr>
            <w:proofErr w:type="spellStart"/>
            <w:r>
              <w:rPr>
                <w:lang w:eastAsia="ru-RU"/>
              </w:rPr>
              <w:t>Депротеинизатор</w:t>
            </w:r>
            <w:proofErr w:type="spellEnd"/>
          </w:p>
        </w:tc>
        <w:tc>
          <w:tcPr>
            <w:tcW w:w="1672" w:type="pct"/>
            <w:tcBorders>
              <w:top w:val="single" w:sz="4" w:space="0" w:color="auto"/>
              <w:left w:val="single" w:sz="4" w:space="0" w:color="auto"/>
              <w:bottom w:val="single" w:sz="4" w:space="0" w:color="auto"/>
              <w:right w:val="single" w:sz="4" w:space="0" w:color="auto"/>
            </w:tcBorders>
            <w:hideMark/>
          </w:tcPr>
          <w:p w:rsidR="005616F2" w:rsidRDefault="005616F2">
            <w:pPr>
              <w:spacing w:line="256" w:lineRule="auto"/>
              <w:rPr>
                <w:lang w:eastAsia="ru-RU"/>
              </w:rPr>
            </w:pPr>
            <w:r>
              <w:rPr>
                <w:color w:val="000000"/>
              </w:rPr>
              <w:t xml:space="preserve">Предназначен для удаления остатков </w:t>
            </w:r>
            <w:proofErr w:type="spellStart"/>
            <w:r>
              <w:rPr>
                <w:color w:val="000000"/>
              </w:rPr>
              <w:t>лизирующего</w:t>
            </w:r>
            <w:proofErr w:type="spellEnd"/>
            <w:r>
              <w:rPr>
                <w:color w:val="000000"/>
              </w:rPr>
              <w:t xml:space="preserve"> реагента, клеточного материала и белков крови, остающихся в гидравлической системе автоматического гематологического анализатора</w:t>
            </w:r>
          </w:p>
        </w:tc>
        <w:tc>
          <w:tcPr>
            <w:tcW w:w="483" w:type="pct"/>
            <w:tcBorders>
              <w:top w:val="single" w:sz="4" w:space="0" w:color="auto"/>
              <w:left w:val="nil"/>
              <w:bottom w:val="single" w:sz="4" w:space="0" w:color="auto"/>
              <w:right w:val="single" w:sz="4" w:space="0" w:color="auto"/>
            </w:tcBorders>
            <w:hideMark/>
          </w:tcPr>
          <w:p w:rsidR="005616F2" w:rsidRDefault="005616F2">
            <w:pPr>
              <w:spacing w:line="256" w:lineRule="auto"/>
              <w:jc w:val="center"/>
              <w:rPr>
                <w:lang w:eastAsia="ru-RU"/>
              </w:rPr>
            </w:pPr>
            <w:r>
              <w:rPr>
                <w:color w:val="000000"/>
              </w:rPr>
              <w:t>Соответствие</w:t>
            </w:r>
          </w:p>
        </w:tc>
        <w:tc>
          <w:tcPr>
            <w:tcW w:w="489" w:type="pct"/>
            <w:tcBorders>
              <w:top w:val="single" w:sz="4" w:space="0" w:color="000000"/>
              <w:left w:val="single" w:sz="4" w:space="0" w:color="000000"/>
              <w:bottom w:val="single" w:sz="4" w:space="0" w:color="000000"/>
              <w:right w:val="single" w:sz="4" w:space="0" w:color="000000"/>
            </w:tcBorders>
          </w:tcPr>
          <w:p w:rsidR="005616F2" w:rsidRDefault="005616F2">
            <w:pPr>
              <w:spacing w:line="256" w:lineRule="auto"/>
              <w:jc w:val="center"/>
              <w:rPr>
                <w:lang w:eastAsia="ru-RU"/>
              </w:rPr>
            </w:pPr>
          </w:p>
        </w:tc>
        <w:tc>
          <w:tcPr>
            <w:tcW w:w="1316"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t>Значение характеристики не может изменяться участником закупки</w:t>
            </w:r>
          </w:p>
        </w:tc>
      </w:tr>
      <w:tr w:rsidR="005616F2" w:rsidTr="005616F2">
        <w:tc>
          <w:tcPr>
            <w:tcW w:w="0" w:type="auto"/>
            <w:vMerge/>
            <w:tcBorders>
              <w:top w:val="outset" w:sz="6" w:space="0" w:color="000000"/>
              <w:left w:val="outset" w:sz="6" w:space="0" w:color="000000"/>
              <w:bottom w:val="single" w:sz="4" w:space="0" w:color="auto"/>
              <w:right w:val="outset" w:sz="6" w:space="0" w:color="000000"/>
            </w:tcBorders>
            <w:vAlign w:val="center"/>
            <w:hideMark/>
          </w:tcPr>
          <w:p w:rsidR="005616F2" w:rsidRDefault="005616F2">
            <w:pPr>
              <w:widowControl/>
              <w:suppressAutoHyphens w:val="0"/>
              <w:spacing w:line="256" w:lineRule="auto"/>
              <w:rPr>
                <w:lang w:eastAsia="ru-RU"/>
              </w:rPr>
            </w:pPr>
          </w:p>
        </w:tc>
        <w:tc>
          <w:tcPr>
            <w:tcW w:w="0" w:type="auto"/>
            <w:vMerge/>
            <w:tcBorders>
              <w:top w:val="outset" w:sz="6" w:space="0" w:color="000000"/>
              <w:left w:val="outset" w:sz="6" w:space="0" w:color="000000"/>
              <w:bottom w:val="single" w:sz="4" w:space="0" w:color="auto"/>
              <w:right w:val="outset" w:sz="6" w:space="0" w:color="000000"/>
            </w:tcBorders>
            <w:vAlign w:val="center"/>
            <w:hideMark/>
          </w:tcPr>
          <w:p w:rsidR="005616F2" w:rsidRDefault="005616F2">
            <w:pPr>
              <w:widowControl/>
              <w:suppressAutoHyphens w:val="0"/>
              <w:spacing w:line="256" w:lineRule="auto"/>
              <w:rPr>
                <w:lang w:eastAsia="ru-RU"/>
              </w:rPr>
            </w:pPr>
          </w:p>
        </w:tc>
        <w:tc>
          <w:tcPr>
            <w:tcW w:w="1672" w:type="pct"/>
            <w:tcBorders>
              <w:top w:val="single" w:sz="4" w:space="0" w:color="auto"/>
              <w:left w:val="single" w:sz="4" w:space="0" w:color="auto"/>
              <w:bottom w:val="single" w:sz="4" w:space="0" w:color="auto"/>
              <w:right w:val="single" w:sz="4" w:space="0" w:color="auto"/>
            </w:tcBorders>
            <w:hideMark/>
          </w:tcPr>
          <w:p w:rsidR="005616F2" w:rsidRDefault="005616F2">
            <w:pPr>
              <w:spacing w:line="256" w:lineRule="auto"/>
              <w:rPr>
                <w:lang w:eastAsia="ru-RU"/>
              </w:rPr>
            </w:pPr>
            <w:r>
              <w:rPr>
                <w:color w:val="000000"/>
              </w:rPr>
              <w:t>Объем</w:t>
            </w:r>
          </w:p>
        </w:tc>
        <w:tc>
          <w:tcPr>
            <w:tcW w:w="483" w:type="pct"/>
            <w:tcBorders>
              <w:top w:val="single" w:sz="4" w:space="0" w:color="auto"/>
              <w:left w:val="nil"/>
              <w:bottom w:val="single" w:sz="4" w:space="0" w:color="auto"/>
              <w:right w:val="single" w:sz="4" w:space="0" w:color="auto"/>
            </w:tcBorders>
            <w:hideMark/>
          </w:tcPr>
          <w:p w:rsidR="005616F2" w:rsidRDefault="005616F2">
            <w:pPr>
              <w:spacing w:line="256" w:lineRule="auto"/>
              <w:jc w:val="center"/>
              <w:rPr>
                <w:lang w:eastAsia="ru-RU"/>
              </w:rPr>
            </w:pPr>
            <w:r>
              <w:rPr>
                <w:i/>
                <w:iCs/>
                <w:color w:val="000000"/>
              </w:rPr>
              <w:t xml:space="preserve">≥ </w:t>
            </w:r>
            <w:r>
              <w:rPr>
                <w:color w:val="000000"/>
              </w:rPr>
              <w:t>50</w:t>
            </w:r>
          </w:p>
        </w:tc>
        <w:tc>
          <w:tcPr>
            <w:tcW w:w="489"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t>Миллилитр</w:t>
            </w:r>
          </w:p>
        </w:tc>
        <w:tc>
          <w:tcPr>
            <w:tcW w:w="1316"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t>Участник закупки указывает в заявке конкретное значение характеристики</w:t>
            </w:r>
          </w:p>
        </w:tc>
      </w:tr>
      <w:tr w:rsidR="005616F2" w:rsidTr="005616F2">
        <w:tc>
          <w:tcPr>
            <w:tcW w:w="0" w:type="auto"/>
            <w:vMerge/>
            <w:tcBorders>
              <w:top w:val="outset" w:sz="6" w:space="0" w:color="000000"/>
              <w:left w:val="outset" w:sz="6" w:space="0" w:color="000000"/>
              <w:bottom w:val="single" w:sz="4" w:space="0" w:color="auto"/>
              <w:right w:val="outset" w:sz="6" w:space="0" w:color="000000"/>
            </w:tcBorders>
            <w:vAlign w:val="center"/>
            <w:hideMark/>
          </w:tcPr>
          <w:p w:rsidR="005616F2" w:rsidRDefault="005616F2">
            <w:pPr>
              <w:widowControl/>
              <w:suppressAutoHyphens w:val="0"/>
              <w:spacing w:line="256" w:lineRule="auto"/>
              <w:rPr>
                <w:lang w:eastAsia="ru-RU"/>
              </w:rPr>
            </w:pPr>
          </w:p>
        </w:tc>
        <w:tc>
          <w:tcPr>
            <w:tcW w:w="0" w:type="auto"/>
            <w:vMerge/>
            <w:tcBorders>
              <w:top w:val="outset" w:sz="6" w:space="0" w:color="000000"/>
              <w:left w:val="outset" w:sz="6" w:space="0" w:color="000000"/>
              <w:bottom w:val="single" w:sz="4" w:space="0" w:color="auto"/>
              <w:right w:val="outset" w:sz="6" w:space="0" w:color="000000"/>
            </w:tcBorders>
            <w:vAlign w:val="center"/>
            <w:hideMark/>
          </w:tcPr>
          <w:p w:rsidR="005616F2" w:rsidRDefault="005616F2">
            <w:pPr>
              <w:widowControl/>
              <w:suppressAutoHyphens w:val="0"/>
              <w:spacing w:line="256" w:lineRule="auto"/>
              <w:rPr>
                <w:lang w:eastAsia="ru-RU"/>
              </w:rPr>
            </w:pPr>
          </w:p>
        </w:tc>
        <w:tc>
          <w:tcPr>
            <w:tcW w:w="1672" w:type="pct"/>
            <w:tcBorders>
              <w:top w:val="single" w:sz="4" w:space="0" w:color="auto"/>
              <w:left w:val="single" w:sz="4" w:space="0" w:color="auto"/>
              <w:bottom w:val="single" w:sz="4" w:space="0" w:color="000000"/>
              <w:right w:val="single" w:sz="4" w:space="0" w:color="auto"/>
            </w:tcBorders>
            <w:hideMark/>
          </w:tcPr>
          <w:p w:rsidR="005616F2" w:rsidRDefault="005616F2">
            <w:pPr>
              <w:spacing w:line="256" w:lineRule="auto"/>
              <w:rPr>
                <w:b/>
                <w:lang w:eastAsia="ru-RU"/>
              </w:rPr>
            </w:pPr>
            <w:r>
              <w:rPr>
                <w:b/>
                <w:color w:val="000000"/>
              </w:rPr>
              <w:t xml:space="preserve">Совместим с имеющимся у Заказчика анализатором гематологическим </w:t>
            </w:r>
            <w:proofErr w:type="spellStart"/>
            <w:r>
              <w:rPr>
                <w:b/>
                <w:color w:val="000000"/>
              </w:rPr>
              <w:t>Sysmex</w:t>
            </w:r>
            <w:proofErr w:type="spellEnd"/>
            <w:r>
              <w:rPr>
                <w:b/>
                <w:color w:val="000000"/>
              </w:rPr>
              <w:t xml:space="preserve"> XS (вариант исполнения</w:t>
            </w:r>
            <w:r>
              <w:rPr>
                <w:b/>
                <w:bCs/>
                <w:color w:val="000000"/>
              </w:rPr>
              <w:t xml:space="preserve"> </w:t>
            </w:r>
            <w:r>
              <w:rPr>
                <w:b/>
                <w:color w:val="000000"/>
              </w:rPr>
              <w:t>XS-500i), производитель «</w:t>
            </w:r>
            <w:proofErr w:type="spellStart"/>
            <w:r>
              <w:rPr>
                <w:b/>
                <w:color w:val="000000"/>
              </w:rPr>
              <w:t>Сисмекс</w:t>
            </w:r>
            <w:proofErr w:type="spellEnd"/>
            <w:r>
              <w:rPr>
                <w:b/>
                <w:color w:val="000000"/>
              </w:rPr>
              <w:t xml:space="preserve"> </w:t>
            </w:r>
            <w:proofErr w:type="spellStart"/>
            <w:r>
              <w:rPr>
                <w:b/>
                <w:color w:val="000000"/>
              </w:rPr>
              <w:t>Корпорейшн</w:t>
            </w:r>
            <w:proofErr w:type="spellEnd"/>
            <w:r>
              <w:rPr>
                <w:b/>
                <w:color w:val="000000"/>
              </w:rPr>
              <w:t>», Япония</w:t>
            </w:r>
          </w:p>
        </w:tc>
        <w:tc>
          <w:tcPr>
            <w:tcW w:w="483" w:type="pct"/>
            <w:tcBorders>
              <w:top w:val="single" w:sz="4" w:space="0" w:color="auto"/>
              <w:left w:val="nil"/>
              <w:bottom w:val="single" w:sz="4" w:space="0" w:color="000000"/>
              <w:right w:val="single" w:sz="4" w:space="0" w:color="auto"/>
            </w:tcBorders>
            <w:hideMark/>
          </w:tcPr>
          <w:p w:rsidR="005616F2" w:rsidRDefault="005616F2">
            <w:pPr>
              <w:spacing w:line="256" w:lineRule="auto"/>
              <w:jc w:val="center"/>
              <w:rPr>
                <w:lang w:eastAsia="ru-RU"/>
              </w:rPr>
            </w:pPr>
            <w:r>
              <w:rPr>
                <w:color w:val="000000"/>
              </w:rPr>
              <w:t>Соответствие</w:t>
            </w:r>
          </w:p>
        </w:tc>
        <w:tc>
          <w:tcPr>
            <w:tcW w:w="489" w:type="pct"/>
            <w:tcBorders>
              <w:top w:val="single" w:sz="4" w:space="0" w:color="000000"/>
              <w:left w:val="single" w:sz="4" w:space="0" w:color="000000"/>
              <w:bottom w:val="single" w:sz="4" w:space="0" w:color="000000"/>
              <w:right w:val="single" w:sz="4" w:space="0" w:color="000000"/>
            </w:tcBorders>
          </w:tcPr>
          <w:p w:rsidR="005616F2" w:rsidRDefault="005616F2">
            <w:pPr>
              <w:spacing w:line="256" w:lineRule="auto"/>
              <w:jc w:val="center"/>
              <w:rPr>
                <w:lang w:eastAsia="ru-RU"/>
              </w:rPr>
            </w:pPr>
          </w:p>
        </w:tc>
        <w:tc>
          <w:tcPr>
            <w:tcW w:w="1316" w:type="pct"/>
            <w:tcBorders>
              <w:top w:val="single" w:sz="4" w:space="0" w:color="000000"/>
              <w:left w:val="single" w:sz="4" w:space="0" w:color="000000"/>
              <w:bottom w:val="single" w:sz="4" w:space="0" w:color="000000"/>
              <w:right w:val="single" w:sz="4" w:space="0" w:color="000000"/>
            </w:tcBorders>
            <w:hideMark/>
          </w:tcPr>
          <w:p w:rsidR="005616F2" w:rsidRDefault="005616F2">
            <w:pPr>
              <w:spacing w:line="256" w:lineRule="auto"/>
              <w:jc w:val="center"/>
              <w:rPr>
                <w:lang w:eastAsia="ru-RU"/>
              </w:rPr>
            </w:pPr>
            <w:r>
              <w:rPr>
                <w:lang w:eastAsia="ru-RU"/>
              </w:rPr>
              <w:t>Значение характеристики не может изменяться участником закупки</w:t>
            </w:r>
          </w:p>
        </w:tc>
      </w:tr>
    </w:tbl>
    <w:p w:rsidR="005616F2" w:rsidRDefault="005616F2" w:rsidP="005616F2">
      <w:pPr>
        <w:suppressAutoHyphens w:val="0"/>
        <w:autoSpaceDE w:val="0"/>
        <w:autoSpaceDN w:val="0"/>
        <w:ind w:right="-1" w:firstLine="709"/>
        <w:jc w:val="both"/>
        <w:rPr>
          <w:sz w:val="24"/>
          <w:szCs w:val="24"/>
        </w:rPr>
      </w:pPr>
      <w:r>
        <w:rPr>
          <w:sz w:val="24"/>
          <w:szCs w:val="24"/>
        </w:rPr>
        <w:t>В электронном документе «Требования к содержанию и составу заявки.doc», являющемся неотъемлемой частью извещения об осуществлении закупки, заказчиком в числе прочего предусмотрено следующее:</w:t>
      </w: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6704"/>
      </w:tblGrid>
      <w:tr w:rsidR="005616F2" w:rsidTr="005616F2">
        <w:tc>
          <w:tcPr>
            <w:tcW w:w="10206" w:type="dxa"/>
            <w:gridSpan w:val="2"/>
            <w:tcBorders>
              <w:top w:val="single" w:sz="4" w:space="0" w:color="auto"/>
              <w:left w:val="single" w:sz="4" w:space="0" w:color="auto"/>
              <w:bottom w:val="single" w:sz="4" w:space="0" w:color="auto"/>
              <w:right w:val="single" w:sz="4" w:space="0" w:color="auto"/>
            </w:tcBorders>
            <w:hideMark/>
          </w:tcPr>
          <w:p w:rsidR="005616F2" w:rsidRDefault="005616F2">
            <w:pPr>
              <w:tabs>
                <w:tab w:val="left" w:pos="42"/>
              </w:tabs>
              <w:spacing w:line="276" w:lineRule="auto"/>
              <w:ind w:left="-154" w:firstLine="127"/>
              <w:jc w:val="both"/>
              <w:rPr>
                <w:rFonts w:ascii="Liberation Serif" w:eastAsia="Liberation Serif" w:hAnsi="Liberation Serif" w:cs="Liberation Serif"/>
                <w:b/>
              </w:rPr>
            </w:pPr>
            <w:r>
              <w:rPr>
                <w:rFonts w:ascii="Liberation Serif" w:eastAsia="Liberation Serif" w:hAnsi="Liberation Serif" w:cs="Liberation Serif"/>
                <w:b/>
              </w:rPr>
              <w:t>Перечень информации и документов и требований к составу заявки</w:t>
            </w:r>
          </w:p>
        </w:tc>
      </w:tr>
      <w:tr w:rsidR="005616F2" w:rsidTr="005616F2">
        <w:tc>
          <w:tcPr>
            <w:tcW w:w="3502" w:type="dxa"/>
            <w:tcBorders>
              <w:top w:val="single" w:sz="4" w:space="0" w:color="auto"/>
              <w:left w:val="single" w:sz="4" w:space="0" w:color="auto"/>
              <w:bottom w:val="single" w:sz="4" w:space="0" w:color="auto"/>
              <w:right w:val="single" w:sz="4" w:space="0" w:color="auto"/>
            </w:tcBorders>
            <w:hideMark/>
          </w:tcPr>
          <w:p w:rsidR="005616F2" w:rsidRDefault="005616F2">
            <w:pPr>
              <w:tabs>
                <w:tab w:val="left" w:pos="305"/>
              </w:tabs>
              <w:spacing w:line="256" w:lineRule="auto"/>
              <w:ind w:left="21" w:firstLine="127"/>
              <w:jc w:val="both"/>
            </w:pPr>
            <w:r>
              <w:rPr>
                <w:b/>
              </w:rPr>
              <w:t>Предложение участника закупки в отношении объекта закупки и инструкция по заполнению заявки</w:t>
            </w:r>
          </w:p>
        </w:tc>
        <w:tc>
          <w:tcPr>
            <w:tcW w:w="6704" w:type="dxa"/>
            <w:tcBorders>
              <w:top w:val="single" w:sz="4" w:space="0" w:color="auto"/>
              <w:left w:val="single" w:sz="4" w:space="0" w:color="auto"/>
              <w:bottom w:val="single" w:sz="4" w:space="0" w:color="auto"/>
              <w:right w:val="single" w:sz="4" w:space="0" w:color="auto"/>
            </w:tcBorders>
            <w:hideMark/>
          </w:tcPr>
          <w:p w:rsidR="005616F2" w:rsidRDefault="005616F2">
            <w:pPr>
              <w:tabs>
                <w:tab w:val="left" w:pos="305"/>
              </w:tabs>
              <w:spacing w:line="256" w:lineRule="auto"/>
              <w:ind w:left="21" w:firstLine="127"/>
              <w:jc w:val="both"/>
            </w:pPr>
            <w:r>
              <w:t xml:space="preserve">-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 44-ФЗ, товарный знак (при наличии у товара товарного знака). </w:t>
            </w:r>
          </w:p>
          <w:p w:rsidR="005616F2" w:rsidRDefault="005616F2">
            <w:pPr>
              <w:tabs>
                <w:tab w:val="left" w:pos="305"/>
              </w:tabs>
              <w:spacing w:line="256" w:lineRule="auto"/>
              <w:ind w:left="21" w:firstLine="127"/>
              <w:jc w:val="both"/>
            </w:pPr>
            <w:r>
              <w:t>При этом указанная информация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5616F2" w:rsidRDefault="005616F2">
            <w:pPr>
              <w:tabs>
                <w:tab w:val="left" w:pos="305"/>
              </w:tabs>
              <w:spacing w:line="256" w:lineRule="auto"/>
              <w:ind w:left="21" w:firstLine="127"/>
              <w:jc w:val="both"/>
            </w:pPr>
            <w:r>
              <w:t>-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Федерального закона № 44-ФЗ.</w:t>
            </w:r>
          </w:p>
          <w:p w:rsidR="005616F2" w:rsidRDefault="005616F2">
            <w:pPr>
              <w:tabs>
                <w:tab w:val="left" w:pos="305"/>
              </w:tabs>
              <w:spacing w:line="256" w:lineRule="auto"/>
              <w:ind w:left="21" w:firstLine="127"/>
              <w:jc w:val="both"/>
              <w:rPr>
                <w:i/>
                <w:color w:val="000000"/>
              </w:rPr>
            </w:pPr>
            <w:r>
              <w:rPr>
                <w:i/>
              </w:rPr>
              <w:t>*</w:t>
            </w:r>
            <w:r>
              <w:rPr>
                <w:i/>
                <w:color w:val="000000"/>
              </w:rPr>
              <w:t xml:space="preserve"> Предложение в отношении объекта закупки формируется в структурированном виде с использованием электронной площадки (пункт 31 Дополнительных требований к операторам ЭТП, утвержденных постановлением Правительства Российской Федерации от 08.06.2018 №656). При заполнении значений характеристик участник закупки руководствуется информацией о таких характеристиках, инструкцией по их заполнению, указанных в извещении об осуществлении закупки. </w:t>
            </w:r>
          </w:p>
          <w:p w:rsidR="005616F2" w:rsidRDefault="005616F2">
            <w:pPr>
              <w:tabs>
                <w:tab w:val="left" w:pos="305"/>
              </w:tabs>
              <w:spacing w:line="256" w:lineRule="auto"/>
              <w:ind w:left="21" w:firstLine="127"/>
              <w:jc w:val="both"/>
              <w:rPr>
                <w:i/>
                <w:color w:val="000000"/>
              </w:rPr>
            </w:pPr>
            <w:r>
              <w:rPr>
                <w:i/>
                <w:color w:val="000000"/>
              </w:rPr>
              <w:t>При этом допускается, помимо заполнения заявки в структурированном виде, приложение к заявке иных документов и информации в отношении объекта закупки с учетом следующих особенностей:</w:t>
            </w:r>
          </w:p>
          <w:p w:rsidR="005616F2" w:rsidRDefault="005616F2">
            <w:pPr>
              <w:tabs>
                <w:tab w:val="left" w:pos="305"/>
              </w:tabs>
              <w:spacing w:line="256" w:lineRule="auto"/>
              <w:ind w:left="21" w:firstLine="127"/>
              <w:jc w:val="both"/>
              <w:rPr>
                <w:i/>
                <w:color w:val="000000"/>
              </w:rPr>
            </w:pPr>
            <w:r>
              <w:rPr>
                <w:i/>
                <w:color w:val="000000"/>
              </w:rPr>
              <w:t>- такие информация и документы, приложенные в составе заявки, не должны противоречить заявке в структурированном виде и извещению об осуществлению закупки;</w:t>
            </w:r>
          </w:p>
          <w:p w:rsidR="005616F2" w:rsidRDefault="005616F2">
            <w:pPr>
              <w:tabs>
                <w:tab w:val="left" w:pos="305"/>
              </w:tabs>
              <w:autoSpaceDE w:val="0"/>
              <w:autoSpaceDN w:val="0"/>
              <w:adjustRightInd w:val="0"/>
              <w:spacing w:line="256" w:lineRule="auto"/>
              <w:ind w:left="21" w:firstLine="127"/>
              <w:jc w:val="both"/>
            </w:pPr>
            <w:r>
              <w:rPr>
                <w:i/>
                <w:color w:val="000000"/>
              </w:rPr>
              <w:t>- при наличии противоречий между такими документами и информацией приоритет имеет информация, содержащаяся в заявке в структурированном виде.</w:t>
            </w:r>
          </w:p>
        </w:tc>
      </w:tr>
      <w:tr w:rsidR="005616F2" w:rsidTr="005616F2">
        <w:tc>
          <w:tcPr>
            <w:tcW w:w="3502" w:type="dxa"/>
            <w:tcBorders>
              <w:top w:val="single" w:sz="4" w:space="0" w:color="auto"/>
              <w:left w:val="single" w:sz="4" w:space="0" w:color="auto"/>
              <w:bottom w:val="single" w:sz="4" w:space="0" w:color="auto"/>
              <w:right w:val="single" w:sz="4" w:space="0" w:color="auto"/>
            </w:tcBorders>
            <w:hideMark/>
          </w:tcPr>
          <w:p w:rsidR="005616F2" w:rsidRDefault="005616F2">
            <w:pPr>
              <w:tabs>
                <w:tab w:val="left" w:pos="305"/>
              </w:tabs>
              <w:autoSpaceDE w:val="0"/>
              <w:autoSpaceDN w:val="0"/>
              <w:adjustRightInd w:val="0"/>
              <w:spacing w:line="256" w:lineRule="auto"/>
              <w:ind w:left="21" w:firstLine="127"/>
              <w:jc w:val="both"/>
            </w:pPr>
            <w: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w:t>
            </w:r>
          </w:p>
        </w:tc>
        <w:tc>
          <w:tcPr>
            <w:tcW w:w="6704" w:type="dxa"/>
            <w:tcBorders>
              <w:top w:val="single" w:sz="4" w:space="0" w:color="auto"/>
              <w:left w:val="single" w:sz="4" w:space="0" w:color="auto"/>
              <w:bottom w:val="single" w:sz="4" w:space="0" w:color="auto"/>
              <w:right w:val="single" w:sz="4" w:space="0" w:color="auto"/>
            </w:tcBorders>
            <w:hideMark/>
          </w:tcPr>
          <w:p w:rsidR="005616F2" w:rsidRDefault="005616F2">
            <w:pPr>
              <w:tabs>
                <w:tab w:val="left" w:pos="305"/>
              </w:tabs>
              <w:spacing w:line="256" w:lineRule="auto"/>
              <w:ind w:left="21" w:firstLine="127"/>
              <w:jc w:val="both"/>
              <w:rPr>
                <w:b/>
                <w:i/>
                <w:iCs/>
              </w:rPr>
            </w:pPr>
            <w:r>
              <w:rPr>
                <w:b/>
                <w:i/>
                <w:iCs/>
              </w:rPr>
              <w:t>Копия регистрационного удостоверения, выданного в соответствии с частью 4 статьи 38 Федерального закона от 21.11.2011 № 323-ФЗ «Об основах охраны здоровья граждан в Российской Федерации» (либо реквизиты такого регистрационного удостоверения)</w:t>
            </w:r>
          </w:p>
        </w:tc>
      </w:tr>
    </w:tbl>
    <w:p w:rsidR="005616F2" w:rsidRDefault="005616F2" w:rsidP="005616F2">
      <w:pPr>
        <w:suppressAutoHyphens w:val="0"/>
        <w:autoSpaceDE w:val="0"/>
        <w:autoSpaceDN w:val="0"/>
        <w:ind w:right="-1" w:firstLine="709"/>
        <w:jc w:val="both"/>
        <w:rPr>
          <w:sz w:val="24"/>
          <w:szCs w:val="24"/>
        </w:rPr>
      </w:pPr>
      <w:r>
        <w:rPr>
          <w:sz w:val="24"/>
          <w:szCs w:val="24"/>
        </w:rPr>
        <w:t xml:space="preserve">Исходя из части 3 статьи 38 Федерального закона от 21.11.2011 N 323-ФЗ "Об </w:t>
      </w:r>
      <w:r>
        <w:rPr>
          <w:sz w:val="24"/>
          <w:szCs w:val="24"/>
        </w:rPr>
        <w:lastRenderedPageBreak/>
        <w:t xml:space="preserve">основах охраны здоровья граждан в Российской Федерации" (далее - Федеральный закон от 21.11.2011 № 323-ФЗ) </w:t>
      </w:r>
      <w:r>
        <w:rPr>
          <w:b/>
          <w:sz w:val="24"/>
          <w:szCs w:val="24"/>
          <w:u w:val="single"/>
        </w:rPr>
        <w:t>обращение медицинских изделий включает в себя</w:t>
      </w:r>
      <w:r>
        <w:rPr>
          <w:sz w:val="24"/>
          <w:szCs w:val="24"/>
        </w:rPr>
        <w:t xml:space="preserve"> технические испытания, токсикологические исследования, клинические испытания, экспертизу качества, эффективности и безопасности медицинских изделий, </w:t>
      </w:r>
      <w:r>
        <w:rPr>
          <w:b/>
          <w:sz w:val="24"/>
          <w:szCs w:val="24"/>
          <w:u w:val="single"/>
        </w:rPr>
        <w:t>их государственную регистрацию</w:t>
      </w:r>
      <w:r>
        <w:rPr>
          <w:sz w:val="24"/>
          <w:szCs w:val="24"/>
        </w:rPr>
        <w:t xml:space="preserve">,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w:t>
      </w:r>
      <w:r>
        <w:rPr>
          <w:b/>
          <w:sz w:val="24"/>
          <w:szCs w:val="24"/>
          <w:u w:val="single"/>
        </w:rPr>
        <w:t>Производитель (изготовитель) медицинского изделия разрабатывает техническую и (или) эксплуатационную документацию</w:t>
      </w:r>
      <w:r>
        <w:rPr>
          <w:sz w:val="24"/>
          <w:szCs w:val="24"/>
        </w:rPr>
        <w:t>,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5616F2" w:rsidRDefault="005616F2" w:rsidP="005616F2">
      <w:pPr>
        <w:suppressAutoHyphens w:val="0"/>
        <w:autoSpaceDE w:val="0"/>
        <w:autoSpaceDN w:val="0"/>
        <w:ind w:right="-1" w:firstLine="605"/>
        <w:jc w:val="both"/>
        <w:rPr>
          <w:sz w:val="24"/>
          <w:szCs w:val="24"/>
        </w:rPr>
      </w:pPr>
      <w:r>
        <w:rPr>
          <w:sz w:val="24"/>
          <w:szCs w:val="24"/>
        </w:rPr>
        <w:t xml:space="preserve">Согласно пункту 4 Приказа Министерства здравоохранения РФ от 19 января 2017 г. N 11н «Об утверждении требований к содержанию технической и эксплуатационной документации производителя (изготовителя) медицинского изделия» </w:t>
      </w:r>
      <w:r>
        <w:rPr>
          <w:b/>
          <w:sz w:val="24"/>
          <w:szCs w:val="24"/>
          <w:u w:val="single"/>
        </w:rPr>
        <w:t>техническая документация производителя (изготовителя) на медицинское изделие (далее - техническая документация), представляемая производителем (изготовителем) медицинского изделия или уполномоченным представителем производителя (изготовителя) медицинского изделия в составе регистрационного досье на медицинское изделие</w:t>
      </w:r>
      <w:r>
        <w:rPr>
          <w:sz w:val="24"/>
          <w:szCs w:val="24"/>
        </w:rPr>
        <w:t xml:space="preserve">, за исключением программного обеспечения, являющегося медицинским изделием, в том числе программного обеспечения с применением технологий искусственного интеллекта (далее - программное обеспечение, являющееся медицинским изделием), </w:t>
      </w:r>
      <w:r>
        <w:rPr>
          <w:b/>
          <w:sz w:val="24"/>
          <w:szCs w:val="24"/>
          <w:u w:val="single"/>
        </w:rPr>
        <w:t>должна помимо прочего содержать</w:t>
      </w:r>
      <w:r>
        <w:rPr>
          <w:sz w:val="24"/>
          <w:szCs w:val="24"/>
        </w:rPr>
        <w:t>:</w:t>
      </w:r>
    </w:p>
    <w:p w:rsidR="005616F2" w:rsidRDefault="005616F2" w:rsidP="005616F2">
      <w:pPr>
        <w:suppressAutoHyphens w:val="0"/>
        <w:autoSpaceDE w:val="0"/>
        <w:autoSpaceDN w:val="0"/>
        <w:ind w:right="-1" w:firstLine="605"/>
        <w:jc w:val="both"/>
        <w:rPr>
          <w:sz w:val="24"/>
          <w:szCs w:val="24"/>
        </w:rPr>
      </w:pPr>
      <w:r>
        <w:rPr>
          <w:sz w:val="24"/>
          <w:szCs w:val="24"/>
        </w:rPr>
        <w:t>1) наименование медицинского изделия, иную информацию, позволяющую идентифицировать медицинское изделие, например, номер модели, варианты модификаций (исполнений) медицинского изделия;</w:t>
      </w:r>
    </w:p>
    <w:p w:rsidR="005616F2" w:rsidRDefault="005616F2" w:rsidP="005616F2">
      <w:pPr>
        <w:suppressAutoHyphens w:val="0"/>
        <w:autoSpaceDE w:val="0"/>
        <w:autoSpaceDN w:val="0"/>
        <w:ind w:right="-1" w:firstLine="605"/>
        <w:jc w:val="both"/>
        <w:rPr>
          <w:b/>
          <w:sz w:val="24"/>
          <w:szCs w:val="24"/>
          <w:u w:val="single"/>
        </w:rPr>
      </w:pPr>
      <w:r>
        <w:rPr>
          <w:b/>
          <w:sz w:val="24"/>
          <w:szCs w:val="24"/>
          <w:u w:val="single"/>
        </w:rPr>
        <w:t>3) показания и противопоказания к применению медицинского изделия.</w:t>
      </w:r>
    </w:p>
    <w:p w:rsidR="005616F2" w:rsidRDefault="005616F2" w:rsidP="005616F2">
      <w:pPr>
        <w:suppressAutoHyphens w:val="0"/>
        <w:autoSpaceDE w:val="0"/>
        <w:autoSpaceDN w:val="0"/>
        <w:ind w:right="-1" w:firstLine="710"/>
        <w:jc w:val="both"/>
        <w:rPr>
          <w:sz w:val="24"/>
          <w:szCs w:val="24"/>
        </w:rPr>
      </w:pPr>
      <w:r>
        <w:rPr>
          <w:sz w:val="24"/>
          <w:szCs w:val="24"/>
        </w:rPr>
        <w:t xml:space="preserve">В соответствии с частью 4 статьи 38 Федерального закона от 21.11.2011 N 323-ФЗ на территории Российской Федерации </w:t>
      </w:r>
      <w:r>
        <w:rPr>
          <w:sz w:val="24"/>
          <w:szCs w:val="24"/>
          <w:u w:val="single"/>
        </w:rPr>
        <w:t>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r>
        <w:rPr>
          <w:sz w:val="24"/>
          <w:szCs w:val="24"/>
        </w:rPr>
        <w:t xml:space="preserve">. </w:t>
      </w:r>
    </w:p>
    <w:p w:rsidR="005616F2" w:rsidRDefault="005616F2" w:rsidP="005616F2">
      <w:pPr>
        <w:widowControl/>
        <w:suppressAutoHyphens w:val="0"/>
        <w:autoSpaceDE w:val="0"/>
        <w:autoSpaceDN w:val="0"/>
        <w:adjustRightInd w:val="0"/>
        <w:ind w:right="-1" w:firstLine="578"/>
        <w:jc w:val="both"/>
        <w:rPr>
          <w:sz w:val="24"/>
          <w:szCs w:val="24"/>
        </w:rPr>
      </w:pPr>
      <w:r>
        <w:rPr>
          <w:sz w:val="24"/>
          <w:szCs w:val="24"/>
        </w:rPr>
        <w:t>Правила регистрации медицинских изделий утверждены постановлением Правительства Российской Федерации от 27 декабря 2012 г. № 1416 «</w:t>
      </w:r>
      <w:r>
        <w:rPr>
          <w:rFonts w:eastAsiaTheme="minorHAnsi"/>
          <w:sz w:val="24"/>
          <w:szCs w:val="24"/>
        </w:rPr>
        <w:t>Об утверждении Правил государственной регистрации медицинских изделий</w:t>
      </w:r>
      <w:r>
        <w:rPr>
          <w:sz w:val="24"/>
          <w:szCs w:val="24"/>
        </w:rPr>
        <w:t>» (далее – Правила).</w:t>
      </w:r>
    </w:p>
    <w:p w:rsidR="005616F2" w:rsidRDefault="005616F2" w:rsidP="005616F2">
      <w:pPr>
        <w:suppressAutoHyphens w:val="0"/>
        <w:autoSpaceDE w:val="0"/>
        <w:autoSpaceDN w:val="0"/>
        <w:ind w:right="-1" w:firstLine="710"/>
        <w:jc w:val="both"/>
        <w:rPr>
          <w:sz w:val="24"/>
          <w:szCs w:val="24"/>
        </w:rPr>
      </w:pPr>
      <w:r>
        <w:rPr>
          <w:sz w:val="24"/>
          <w:szCs w:val="24"/>
        </w:rPr>
        <w:t xml:space="preserve">В соответствии с пунктом 2 Правил </w:t>
      </w:r>
      <w:r>
        <w:rPr>
          <w:sz w:val="24"/>
          <w:szCs w:val="24"/>
          <w:u w:val="single"/>
        </w:rPr>
        <w:t>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w:t>
      </w:r>
      <w:r>
        <w:rPr>
          <w:sz w:val="24"/>
          <w:szCs w:val="24"/>
        </w:rPr>
        <w:t xml:space="preserve">,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w:t>
      </w:r>
      <w:r>
        <w:rPr>
          <w:sz w:val="24"/>
          <w:szCs w:val="24"/>
        </w:rPr>
        <w:lastRenderedPageBreak/>
        <w:t>воздействия на организм человека (далее - медицинские изделия).</w:t>
      </w:r>
    </w:p>
    <w:p w:rsidR="005616F2" w:rsidRDefault="005616F2" w:rsidP="005616F2">
      <w:pPr>
        <w:suppressAutoHyphens w:val="0"/>
        <w:autoSpaceDE w:val="0"/>
        <w:autoSpaceDN w:val="0"/>
        <w:ind w:right="-1" w:firstLine="710"/>
        <w:jc w:val="both"/>
        <w:rPr>
          <w:sz w:val="24"/>
          <w:szCs w:val="24"/>
        </w:rPr>
      </w:pPr>
      <w:r>
        <w:rPr>
          <w:sz w:val="24"/>
          <w:szCs w:val="24"/>
        </w:rPr>
        <w:t xml:space="preserve">В соответствии с пунктом 6 Правил документом, подтверждающим </w:t>
      </w:r>
      <w:r>
        <w:rPr>
          <w:sz w:val="24"/>
          <w:szCs w:val="24"/>
          <w:u w:val="single"/>
        </w:rPr>
        <w:t>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w:t>
      </w:r>
      <w:r>
        <w:rPr>
          <w:sz w:val="24"/>
          <w:szCs w:val="24"/>
        </w:rPr>
        <w:t>. Форма регистрационного удостоверения утверждается регистрирующим органом. Регистрационное удостоверение выдается бессрочно.</w:t>
      </w:r>
    </w:p>
    <w:p w:rsidR="005616F2" w:rsidRDefault="005616F2" w:rsidP="005616F2">
      <w:pPr>
        <w:suppressAutoHyphens w:val="0"/>
        <w:autoSpaceDE w:val="0"/>
        <w:autoSpaceDN w:val="0"/>
        <w:ind w:right="-1" w:firstLine="710"/>
        <w:jc w:val="both"/>
        <w:rPr>
          <w:sz w:val="24"/>
          <w:szCs w:val="24"/>
        </w:rPr>
      </w:pPr>
      <w:r>
        <w:rPr>
          <w:sz w:val="24"/>
          <w:szCs w:val="24"/>
        </w:rPr>
        <w:t>В соответствии с пунктом 10 Правил для государственной регистрации медицинского изделия (за исключением медицинских изделий, включенных в перечень) представляются следующие документы:</w:t>
      </w:r>
    </w:p>
    <w:p w:rsidR="005616F2" w:rsidRDefault="005616F2" w:rsidP="005616F2">
      <w:pPr>
        <w:suppressAutoHyphens w:val="0"/>
        <w:autoSpaceDE w:val="0"/>
        <w:autoSpaceDN w:val="0"/>
        <w:ind w:right="-1" w:firstLine="710"/>
        <w:jc w:val="both"/>
        <w:rPr>
          <w:sz w:val="24"/>
          <w:szCs w:val="24"/>
        </w:rPr>
      </w:pPr>
      <w:proofErr w:type="gramStart"/>
      <w:r>
        <w:rPr>
          <w:sz w:val="24"/>
          <w:szCs w:val="24"/>
        </w:rPr>
        <w:t>в</w:t>
      </w:r>
      <w:proofErr w:type="gramEnd"/>
      <w:r>
        <w:rPr>
          <w:sz w:val="24"/>
          <w:szCs w:val="24"/>
        </w:rPr>
        <w:t>) техническая документация производителя (изготовителя) на медицинское изделие;</w:t>
      </w:r>
    </w:p>
    <w:p w:rsidR="005616F2" w:rsidRDefault="005616F2" w:rsidP="005616F2">
      <w:pPr>
        <w:suppressAutoHyphens w:val="0"/>
        <w:autoSpaceDE w:val="0"/>
        <w:autoSpaceDN w:val="0"/>
        <w:ind w:right="-1" w:firstLine="710"/>
        <w:jc w:val="both"/>
        <w:rPr>
          <w:sz w:val="24"/>
          <w:szCs w:val="24"/>
        </w:rPr>
      </w:pPr>
      <w:proofErr w:type="gramStart"/>
      <w:r>
        <w:rPr>
          <w:sz w:val="24"/>
          <w:szCs w:val="24"/>
        </w:rPr>
        <w:t>г</w:t>
      </w:r>
      <w:proofErr w:type="gramEnd"/>
      <w:r>
        <w:rPr>
          <w:sz w:val="24"/>
          <w:szCs w:val="24"/>
        </w:rPr>
        <w:t xml:space="preserve">) эксплуатационная документация производителя (изготовителя) на медицинское изделие, </w:t>
      </w:r>
      <w:r>
        <w:rPr>
          <w:b/>
          <w:sz w:val="24"/>
          <w:szCs w:val="24"/>
          <w:u w:val="single"/>
        </w:rPr>
        <w:t>в том числе инструкция по применению или руководство по эксплуатации медицинского изделия.</w:t>
      </w:r>
    </w:p>
    <w:p w:rsidR="005616F2" w:rsidRDefault="005616F2" w:rsidP="005616F2">
      <w:pPr>
        <w:suppressAutoHyphens w:val="0"/>
        <w:autoSpaceDE w:val="0"/>
        <w:autoSpaceDN w:val="0"/>
        <w:ind w:right="-1" w:firstLine="710"/>
        <w:jc w:val="both"/>
        <w:rPr>
          <w:sz w:val="24"/>
          <w:szCs w:val="24"/>
        </w:rPr>
      </w:pPr>
      <w:r>
        <w:rPr>
          <w:sz w:val="24"/>
          <w:szCs w:val="24"/>
        </w:rPr>
        <w:t xml:space="preserve">На основании подпунктов 5.5(1), 5.5(2) Раздела II постановления Правительства РФ от 30.06.2004 № 323 «Об утверждении Положения о Федеральной службе по надзору в сфере здравоохранения» </w:t>
      </w:r>
      <w:r>
        <w:rPr>
          <w:b/>
          <w:sz w:val="24"/>
          <w:szCs w:val="24"/>
          <w:u w:val="single"/>
        </w:rPr>
        <w:t>Федеральная служба по надзору в сфере здравоохранения (Росздравнадзор) наделена следующими полномочиями</w:t>
      </w:r>
      <w:r>
        <w:rPr>
          <w:sz w:val="24"/>
          <w:szCs w:val="24"/>
        </w:rPr>
        <w:t>:</w:t>
      </w:r>
    </w:p>
    <w:p w:rsidR="005616F2" w:rsidRDefault="005616F2" w:rsidP="005616F2">
      <w:pPr>
        <w:suppressAutoHyphens w:val="0"/>
        <w:autoSpaceDE w:val="0"/>
        <w:autoSpaceDN w:val="0"/>
        <w:ind w:right="-1" w:firstLine="710"/>
        <w:jc w:val="both"/>
        <w:rPr>
          <w:sz w:val="24"/>
          <w:szCs w:val="24"/>
        </w:rPr>
      </w:pPr>
      <w:r>
        <w:rPr>
          <w:sz w:val="24"/>
          <w:szCs w:val="24"/>
        </w:rPr>
        <w:t xml:space="preserve">- </w:t>
      </w:r>
      <w:r>
        <w:rPr>
          <w:b/>
          <w:sz w:val="24"/>
          <w:szCs w:val="24"/>
          <w:u w:val="single"/>
        </w:rPr>
        <w:t xml:space="preserve">ведет государственный реестр медицинских </w:t>
      </w:r>
      <w:r>
        <w:rPr>
          <w:b/>
          <w:sz w:val="24"/>
          <w:szCs w:val="24"/>
        </w:rPr>
        <w:t>изделий и организаций (</w:t>
      </w:r>
      <w:r>
        <w:rPr>
          <w:sz w:val="24"/>
          <w:szCs w:val="24"/>
        </w:rPr>
        <w:t xml:space="preserve">индивидуальных предпринимателей), осуществляющих производство и изготовление медицинских изделий, и </w:t>
      </w:r>
      <w:r>
        <w:rPr>
          <w:b/>
          <w:sz w:val="24"/>
          <w:szCs w:val="24"/>
          <w:u w:val="single"/>
        </w:rPr>
        <w:t>размещает его на официальном сайте Службы в сети Интернет</w:t>
      </w:r>
      <w:r>
        <w:rPr>
          <w:sz w:val="24"/>
          <w:szCs w:val="24"/>
        </w:rPr>
        <w:t>;</w:t>
      </w:r>
    </w:p>
    <w:p w:rsidR="005616F2" w:rsidRDefault="005616F2" w:rsidP="005616F2">
      <w:pPr>
        <w:suppressAutoHyphens w:val="0"/>
        <w:autoSpaceDE w:val="0"/>
        <w:autoSpaceDN w:val="0"/>
        <w:ind w:right="-1" w:firstLine="710"/>
        <w:jc w:val="both"/>
        <w:rPr>
          <w:sz w:val="24"/>
          <w:szCs w:val="24"/>
        </w:rPr>
      </w:pPr>
      <w:r>
        <w:rPr>
          <w:sz w:val="24"/>
          <w:szCs w:val="24"/>
        </w:rPr>
        <w:t xml:space="preserve">- </w:t>
      </w:r>
      <w:r>
        <w:rPr>
          <w:b/>
          <w:sz w:val="24"/>
          <w:szCs w:val="24"/>
          <w:u w:val="single"/>
        </w:rPr>
        <w:t>осуществляет регистрацию медицинского изделия, внесение изменений в регистрационное досье медицинского изделия</w:t>
      </w:r>
      <w:r>
        <w:rPr>
          <w:sz w:val="24"/>
          <w:szCs w:val="24"/>
        </w:rPr>
        <w:t>, выдачу дубликатов регистрационных удостоверений медицинских изделий, приостановление и отмену действия (аннулирование) регистрационного удостоверения медицинского изделия, согласование экспертного заключения референтного государства, определение экспертной организации, а также организацию (путем выдачи соответствующего задания экспертной организации) проведения экспертизы безопасности, качества и эффективности медицинских изделий в целях их регистрации или внесения изменений в регистрационное досье медицинского изделия и согласования экспертного заключения референтного государства, на основании которых принимается решение о регистрации медицинского изделия на территории Российской Федерации или о внесении изменений в регистрационное досье медицинского изделия, в соответствии с Правилами регистрации и экспертизы безопасности, качества и эффективности медицинских изделий, утвержденными решением Совета Евразийской экономической комиссии от 12 февраля 2016 г. N 46.</w:t>
      </w:r>
    </w:p>
    <w:p w:rsidR="005616F2" w:rsidRDefault="005616F2" w:rsidP="005616F2">
      <w:pPr>
        <w:suppressAutoHyphens w:val="0"/>
        <w:autoSpaceDE w:val="0"/>
        <w:autoSpaceDN w:val="0"/>
        <w:ind w:right="-1" w:firstLine="710"/>
        <w:jc w:val="both"/>
        <w:rPr>
          <w:sz w:val="24"/>
          <w:szCs w:val="24"/>
        </w:rPr>
      </w:pPr>
      <w:r>
        <w:rPr>
          <w:sz w:val="24"/>
          <w:szCs w:val="24"/>
        </w:rPr>
        <w:t>Исходя из приведенных выше положений действующего законодательства реестр медицинских изделий и организаций (индивидуальных предпринимателей), осуществляющих производство и изготовление медицинских изделий, расположенный на сайте Росздравнадзора, допустимо рассматривать в качестве официального, общедоступного источника информации.</w:t>
      </w:r>
    </w:p>
    <w:p w:rsidR="005616F2" w:rsidRDefault="005616F2" w:rsidP="005616F2">
      <w:pPr>
        <w:ind w:firstLine="709"/>
        <w:jc w:val="both"/>
        <w:rPr>
          <w:sz w:val="24"/>
          <w:szCs w:val="24"/>
        </w:rPr>
      </w:pPr>
      <w:r>
        <w:rPr>
          <w:sz w:val="24"/>
          <w:szCs w:val="24"/>
        </w:rPr>
        <w:t>В соответствии с подпунктом «а» пункта 1 части 5 статьи 49 Федерального закона от 05.04.2013 №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616F2" w:rsidRDefault="005616F2" w:rsidP="005616F2">
      <w:pPr>
        <w:ind w:firstLine="709"/>
        <w:jc w:val="both"/>
        <w:rPr>
          <w:sz w:val="24"/>
          <w:szCs w:val="24"/>
        </w:rPr>
      </w:pPr>
      <w:r>
        <w:rPr>
          <w:sz w:val="24"/>
          <w:szCs w:val="24"/>
        </w:rPr>
        <w:t xml:space="preserve">Согласно пункту 1 части 12 статьи 48 Федерального закона от 05.04.2013 № 44-ФЗ при рассмотрении вторых частей заявок на участие в закупке соответствующая заявка </w:t>
      </w:r>
      <w:r>
        <w:rPr>
          <w:sz w:val="24"/>
          <w:szCs w:val="24"/>
        </w:rPr>
        <w:lastRenderedPageBreak/>
        <w:t>подлежит отклонению в случаях:</w:t>
      </w:r>
    </w:p>
    <w:p w:rsidR="005616F2" w:rsidRDefault="005616F2" w:rsidP="005616F2">
      <w:pPr>
        <w:ind w:firstLine="709"/>
        <w:jc w:val="both"/>
        <w:rPr>
          <w:sz w:val="24"/>
          <w:szCs w:val="24"/>
          <w:u w:val="single"/>
        </w:rPr>
      </w:pPr>
      <w:r>
        <w:rPr>
          <w:sz w:val="24"/>
          <w:szCs w:val="24"/>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616F2" w:rsidRDefault="005616F2" w:rsidP="005616F2">
      <w:pPr>
        <w:ind w:firstLine="709"/>
        <w:jc w:val="both"/>
        <w:rPr>
          <w:sz w:val="24"/>
          <w:szCs w:val="24"/>
        </w:rPr>
      </w:pPr>
      <w:r>
        <w:rPr>
          <w:sz w:val="24"/>
          <w:szCs w:val="24"/>
        </w:rPr>
        <w:t>8) выявления недостоверной информации, содержащейся в заявке на участие в закупке.</w:t>
      </w:r>
    </w:p>
    <w:p w:rsidR="005616F2" w:rsidRDefault="005616F2" w:rsidP="005616F2">
      <w:pPr>
        <w:ind w:firstLine="709"/>
        <w:jc w:val="both"/>
        <w:rPr>
          <w:sz w:val="24"/>
          <w:szCs w:val="24"/>
        </w:rPr>
      </w:pPr>
      <w:r>
        <w:rPr>
          <w:sz w:val="24"/>
          <w:szCs w:val="24"/>
        </w:rPr>
        <w:t>В соответствии с разъяснениями ФАС России от 28.06.2023 № ПИ/51060/23 по вопросу проверки соответствия характеристик товара, указанных в заявке участника закупки, характеристикам, указанным в инструкции, размещенной на сайте Росздравнадзора, при осуществлении закупок медицинских изделий в соответствии с Федеральным законом от 05.04.2023 № 44-ФЗ, актуальные сведения в отношении медицинских изделий, разрешенных к обращению на территории Российской Федерации, отражены в инструкциях по применению медицинских изделий, содержащихся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w:t>
      </w:r>
    </w:p>
    <w:p w:rsidR="005616F2" w:rsidRDefault="005616F2" w:rsidP="005616F2">
      <w:pPr>
        <w:jc w:val="both"/>
        <w:rPr>
          <w:sz w:val="24"/>
          <w:szCs w:val="24"/>
        </w:rPr>
      </w:pPr>
      <w:r>
        <w:rPr>
          <w:sz w:val="24"/>
          <w:szCs w:val="24"/>
        </w:rPr>
        <w:t>Таким образом, при необходимости сведения, представленные в заявках участников, следует сверять с приведенными в реестре сведениями. При этом комиссия по осуществлению закупок самостоятельно принимает решение о допуске или об отклонении заявок, руководствуясь извещением об осуществлении закупки, документацией о закупке (в случае, если Законом о контрактной системе предусмотрена документация о закупке) и Законом о контрактной системе.</w:t>
      </w:r>
    </w:p>
    <w:p w:rsidR="005616F2" w:rsidRDefault="005616F2" w:rsidP="005616F2">
      <w:pPr>
        <w:ind w:firstLine="709"/>
        <w:jc w:val="both"/>
        <w:rPr>
          <w:sz w:val="24"/>
          <w:szCs w:val="24"/>
          <w:highlight w:val="yellow"/>
        </w:rPr>
      </w:pPr>
      <w:r>
        <w:rPr>
          <w:sz w:val="24"/>
          <w:szCs w:val="24"/>
        </w:rPr>
        <w:t>Согласно Протоколу подведения итогов определения поставщика (подрядчика, исполнителя) от 19.09.2024 №ИЭА1 подано 4 заявки (из них соответствует требованиям: 2; отклонено: 2):</w:t>
      </w:r>
    </w:p>
    <w:tbl>
      <w:tblPr>
        <w:tblStyle w:val="2"/>
        <w:tblW w:w="5306" w:type="pct"/>
        <w:tblInd w:w="-572" w:type="dxa"/>
        <w:tblLook w:val="05E0" w:firstRow="1" w:lastRow="1" w:firstColumn="1" w:lastColumn="1" w:noHBand="0" w:noVBand="1"/>
      </w:tblPr>
      <w:tblGrid>
        <w:gridCol w:w="9917"/>
      </w:tblGrid>
      <w:tr w:rsidR="005616F2" w:rsidTr="005616F2">
        <w:tc>
          <w:tcPr>
            <w:tcW w:w="0" w:type="auto"/>
            <w:tcBorders>
              <w:top w:val="single" w:sz="4" w:space="0" w:color="auto"/>
              <w:left w:val="single" w:sz="4" w:space="0" w:color="auto"/>
              <w:bottom w:val="single" w:sz="4" w:space="0" w:color="auto"/>
              <w:right w:val="single" w:sz="4" w:space="0" w:color="auto"/>
            </w:tcBorders>
            <w:hideMark/>
          </w:tcPr>
          <w:tbl>
            <w:tblPr>
              <w:tblStyle w:val="2"/>
              <w:tblW w:w="9870" w:type="dxa"/>
              <w:tblInd w:w="3" w:type="dxa"/>
              <w:tblLook w:val="05E0" w:firstRow="1" w:lastRow="1" w:firstColumn="1" w:lastColumn="1" w:noHBand="0" w:noVBand="1"/>
            </w:tblPr>
            <w:tblGrid>
              <w:gridCol w:w="1369"/>
              <w:gridCol w:w="1561"/>
              <w:gridCol w:w="1569"/>
              <w:gridCol w:w="1605"/>
              <w:gridCol w:w="3766"/>
            </w:tblGrid>
            <w:tr w:rsidR="005616F2">
              <w:tc>
                <w:tcPr>
                  <w:tcW w:w="610"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b/>
                      <w:bCs/>
                      <w:color w:val="000000"/>
                      <w:lang w:eastAsia="ru-RU"/>
                    </w:rPr>
                  </w:pPr>
                  <w:proofErr w:type="spellStart"/>
                  <w:proofErr w:type="gramStart"/>
                  <w:r>
                    <w:rPr>
                      <w:b/>
                      <w:bCs/>
                      <w:color w:val="000000"/>
                      <w:lang w:eastAsia="ru-RU"/>
                    </w:rPr>
                    <w:t>Идентифи</w:t>
                  </w:r>
                  <w:proofErr w:type="spellEnd"/>
                  <w:r>
                    <w:rPr>
                      <w:b/>
                      <w:bCs/>
                      <w:color w:val="000000"/>
                      <w:lang w:eastAsia="ru-RU"/>
                    </w:rPr>
                    <w:t>-</w:t>
                  </w:r>
                  <w:r>
                    <w:rPr>
                      <w:b/>
                      <w:bCs/>
                      <w:color w:val="000000"/>
                      <w:lang w:eastAsia="ru-RU"/>
                    </w:rPr>
                    <w:br/>
                  </w:r>
                  <w:proofErr w:type="spellStart"/>
                  <w:r>
                    <w:rPr>
                      <w:b/>
                      <w:bCs/>
                      <w:color w:val="000000"/>
                      <w:lang w:eastAsia="ru-RU"/>
                    </w:rPr>
                    <w:t>кационный</w:t>
                  </w:r>
                  <w:proofErr w:type="spellEnd"/>
                  <w:proofErr w:type="gramEnd"/>
                  <w:r>
                    <w:rPr>
                      <w:b/>
                      <w:bCs/>
                      <w:color w:val="000000"/>
                      <w:lang w:eastAsia="ru-RU"/>
                    </w:rPr>
                    <w:t xml:space="preserve"> номер заявки</w:t>
                  </w:r>
                </w:p>
              </w:tc>
              <w:tc>
                <w:tcPr>
                  <w:tcW w:w="703"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b/>
                      <w:bCs/>
                      <w:color w:val="000000"/>
                      <w:lang w:eastAsia="ru-RU"/>
                    </w:rPr>
                  </w:pPr>
                  <w:r>
                    <w:rPr>
                      <w:b/>
                      <w:bCs/>
                      <w:color w:val="000000"/>
                      <w:lang w:eastAsia="ru-RU"/>
                    </w:rPr>
                    <w:t>Предложение о цене контракта /сумме цен единиц товара, работы, услуги, руб.</w:t>
                  </w:r>
                </w:p>
              </w:tc>
              <w:tc>
                <w:tcPr>
                  <w:tcW w:w="707"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b/>
                      <w:bCs/>
                      <w:color w:val="000000"/>
                      <w:lang w:eastAsia="ru-RU"/>
                    </w:rPr>
                  </w:pPr>
                  <w:r>
                    <w:rPr>
                      <w:b/>
                      <w:bCs/>
                      <w:color w:val="000000"/>
                      <w:lang w:eastAsia="ru-RU"/>
                    </w:rPr>
                    <w:t>Порядковый номер заявки, присвоенный оператором</w:t>
                  </w:r>
                </w:p>
              </w:tc>
              <w:tc>
                <w:tcPr>
                  <w:tcW w:w="724"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b/>
                      <w:bCs/>
                      <w:color w:val="000000"/>
                      <w:lang w:eastAsia="ru-RU"/>
                    </w:rPr>
                  </w:pPr>
                  <w:r>
                    <w:rPr>
                      <w:b/>
                      <w:bCs/>
                      <w:color w:val="000000"/>
                      <w:lang w:eastAsia="ru-RU"/>
                    </w:rPr>
                    <w:t>Результат рассмотрения</w:t>
                  </w:r>
                </w:p>
              </w:tc>
              <w:tc>
                <w:tcPr>
                  <w:tcW w:w="2256"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b/>
                      <w:bCs/>
                      <w:color w:val="000000"/>
                      <w:lang w:eastAsia="ru-RU"/>
                    </w:rPr>
                  </w:pPr>
                  <w:r>
                    <w:rPr>
                      <w:b/>
                      <w:bCs/>
                      <w:color w:val="000000"/>
                      <w:lang w:eastAsia="ru-RU"/>
                    </w:rPr>
                    <w:t>Причина отклонения</w:t>
                  </w:r>
                </w:p>
              </w:tc>
            </w:tr>
            <w:tr w:rsidR="005616F2">
              <w:tc>
                <w:tcPr>
                  <w:tcW w:w="610"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93</w:t>
                  </w:r>
                </w:p>
              </w:tc>
              <w:tc>
                <w:tcPr>
                  <w:tcW w:w="703"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155 000,00</w:t>
                  </w:r>
                </w:p>
              </w:tc>
              <w:tc>
                <w:tcPr>
                  <w:tcW w:w="707"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1</w:t>
                  </w:r>
                </w:p>
              </w:tc>
              <w:tc>
                <w:tcPr>
                  <w:tcW w:w="724"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Отклонена</w:t>
                  </w:r>
                </w:p>
              </w:tc>
              <w:tc>
                <w:tcPr>
                  <w:tcW w:w="2256"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w:t>
                  </w:r>
                  <w:proofErr w:type="gramStart"/>
                  <w:r>
                    <w:rPr>
                      <w:color w:val="000000"/>
                      <w:lang w:eastAsia="ru-RU"/>
                    </w:rPr>
                    <w:t>п.</w:t>
                  </w:r>
                  <w:proofErr w:type="gramEnd"/>
                  <w:r>
                    <w:rPr>
                      <w:color w:val="000000"/>
                      <w:lang w:eastAsia="ru-RU"/>
                    </w:rPr>
                    <w:t xml:space="preserve">8 ч.12 ст. 48) - выявление недостоверной информации, содержащейся в заявке на участие в закупке (Отклонение по п. 8 ч. 12 ст. 48 Закона № 44-ФЗ. Участником предлагаются к поставке реагенты для анализатора гематологического </w:t>
                  </w:r>
                  <w:proofErr w:type="spellStart"/>
                  <w:r>
                    <w:rPr>
                      <w:color w:val="000000"/>
                      <w:lang w:eastAsia="ru-RU"/>
                    </w:rPr>
                    <w:t>Sysmex</w:t>
                  </w:r>
                  <w:proofErr w:type="spellEnd"/>
                  <w:r>
                    <w:rPr>
                      <w:color w:val="000000"/>
                      <w:lang w:eastAsia="ru-RU"/>
                    </w:rPr>
                    <w:t xml:space="preserve"> XS (вариант исполнения XS-500i), имеющегося у Заказчика, не указанные в разделе 4 "Реагенты" руководства по эксплуатации автоматического гематологического анализатора XS-500i. Согласно п. 2.1 руководства при эксплуатации анализатора «точность результатов анализа не гарантируется при нарушении инструкций, которые приводятся в данном руководстве </w:t>
                  </w:r>
                  <w:r>
                    <w:rPr>
                      <w:color w:val="000000"/>
                      <w:lang w:eastAsia="ru-RU"/>
                    </w:rPr>
                    <w:lastRenderedPageBreak/>
                    <w:t>пользователя. Используйте только те реагенты, которые упоминаются в данном руководстве»)</w:t>
                  </w:r>
                </w:p>
              </w:tc>
            </w:tr>
            <w:tr w:rsidR="005616F2">
              <w:tc>
                <w:tcPr>
                  <w:tcW w:w="610"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lastRenderedPageBreak/>
                    <w:t>142</w:t>
                  </w:r>
                </w:p>
              </w:tc>
              <w:tc>
                <w:tcPr>
                  <w:tcW w:w="703"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158 676,13</w:t>
                  </w:r>
                </w:p>
              </w:tc>
              <w:tc>
                <w:tcPr>
                  <w:tcW w:w="707"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2</w:t>
                  </w:r>
                </w:p>
              </w:tc>
              <w:tc>
                <w:tcPr>
                  <w:tcW w:w="724"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Отклонена</w:t>
                  </w:r>
                </w:p>
              </w:tc>
              <w:tc>
                <w:tcPr>
                  <w:tcW w:w="2256"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w:t>
                  </w:r>
                  <w:proofErr w:type="gramStart"/>
                  <w:r>
                    <w:rPr>
                      <w:color w:val="000000"/>
                      <w:lang w:eastAsia="ru-RU"/>
                    </w:rPr>
                    <w:t>п.</w:t>
                  </w:r>
                  <w:proofErr w:type="gramEnd"/>
                  <w:r>
                    <w:rPr>
                      <w:color w:val="000000"/>
                      <w:lang w:eastAsia="ru-RU"/>
                    </w:rPr>
                    <w:t xml:space="preserve">8 ч.12 ст. 48) - выявление недостоверной информации, содержащейся в заявке на участие в закупке (Отклонение по п. 8 ч. 12 ст. 48 Закона № 44-ФЗ. Участником предлагаются к поставке реагенты для анализатора гематологического </w:t>
                  </w:r>
                  <w:proofErr w:type="spellStart"/>
                  <w:r>
                    <w:rPr>
                      <w:color w:val="000000"/>
                      <w:lang w:eastAsia="ru-RU"/>
                    </w:rPr>
                    <w:t>Sysmex</w:t>
                  </w:r>
                  <w:proofErr w:type="spellEnd"/>
                  <w:r>
                    <w:rPr>
                      <w:color w:val="000000"/>
                      <w:lang w:eastAsia="ru-RU"/>
                    </w:rPr>
                    <w:t xml:space="preserve"> XS (вариант исполнения XS-500i), имеющегося у Заказчика, не указанные в разделе 4 "Реагенты" руководства по эксплуатации автоматического гематологического анализатора XS-500i. Согласно п. 2.1 руководства при эксплуатации анализатора «точность результатов анализа не гарантируется при нарушении инструкций, которые приводятся в данном руководстве пользователя. Используйте только те реагенты, которые упоминаются в данном руководстве»)</w:t>
                  </w:r>
                </w:p>
              </w:tc>
            </w:tr>
            <w:tr w:rsidR="005616F2">
              <w:tc>
                <w:tcPr>
                  <w:tcW w:w="610"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186</w:t>
                  </w:r>
                </w:p>
              </w:tc>
              <w:tc>
                <w:tcPr>
                  <w:tcW w:w="703"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168 224,00</w:t>
                  </w:r>
                </w:p>
              </w:tc>
              <w:tc>
                <w:tcPr>
                  <w:tcW w:w="707"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3</w:t>
                  </w:r>
                </w:p>
              </w:tc>
              <w:tc>
                <w:tcPr>
                  <w:tcW w:w="724"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Соответствует</w:t>
                  </w:r>
                </w:p>
              </w:tc>
              <w:tc>
                <w:tcPr>
                  <w:tcW w:w="2256"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 </w:t>
                  </w:r>
                </w:p>
              </w:tc>
            </w:tr>
            <w:tr w:rsidR="005616F2">
              <w:tc>
                <w:tcPr>
                  <w:tcW w:w="610"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85</w:t>
                  </w:r>
                </w:p>
              </w:tc>
              <w:tc>
                <w:tcPr>
                  <w:tcW w:w="703"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190 000,00</w:t>
                  </w:r>
                </w:p>
              </w:tc>
              <w:tc>
                <w:tcPr>
                  <w:tcW w:w="707"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4</w:t>
                  </w:r>
                </w:p>
              </w:tc>
              <w:tc>
                <w:tcPr>
                  <w:tcW w:w="724"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Соответствует</w:t>
                  </w:r>
                </w:p>
              </w:tc>
              <w:tc>
                <w:tcPr>
                  <w:tcW w:w="2256" w:type="pct"/>
                  <w:tcBorders>
                    <w:top w:val="single" w:sz="4" w:space="0" w:color="auto"/>
                    <w:left w:val="single" w:sz="4" w:space="0" w:color="auto"/>
                    <w:bottom w:val="single" w:sz="4" w:space="0" w:color="auto"/>
                    <w:right w:val="single" w:sz="4" w:space="0" w:color="auto"/>
                  </w:tcBorders>
                  <w:hideMark/>
                </w:tcPr>
                <w:p w:rsidR="005616F2" w:rsidRDefault="005616F2">
                  <w:pPr>
                    <w:widowControl/>
                    <w:suppressAutoHyphens w:val="0"/>
                    <w:jc w:val="center"/>
                    <w:rPr>
                      <w:color w:val="000000"/>
                      <w:lang w:eastAsia="ru-RU"/>
                    </w:rPr>
                  </w:pPr>
                  <w:r>
                    <w:rPr>
                      <w:color w:val="000000"/>
                      <w:lang w:eastAsia="ru-RU"/>
                    </w:rPr>
                    <w:t> </w:t>
                  </w:r>
                </w:p>
              </w:tc>
            </w:tr>
          </w:tbl>
          <w:p w:rsidR="005616F2" w:rsidRDefault="005616F2">
            <w:pPr>
              <w:widowControl/>
              <w:suppressAutoHyphens w:val="0"/>
              <w:rPr>
                <w:rFonts w:asciiTheme="minorHAnsi" w:eastAsiaTheme="minorHAnsi" w:hAnsiTheme="minorHAnsi" w:cstheme="minorBidi"/>
              </w:rPr>
            </w:pPr>
          </w:p>
        </w:tc>
      </w:tr>
    </w:tbl>
    <w:p w:rsidR="005616F2" w:rsidRDefault="005616F2" w:rsidP="005616F2">
      <w:pPr>
        <w:suppressAutoHyphens w:val="0"/>
        <w:autoSpaceDE w:val="0"/>
        <w:autoSpaceDN w:val="0"/>
        <w:ind w:right="-1" w:firstLine="710"/>
        <w:jc w:val="both"/>
        <w:rPr>
          <w:sz w:val="24"/>
          <w:szCs w:val="24"/>
        </w:rPr>
      </w:pPr>
      <w:r>
        <w:rPr>
          <w:sz w:val="24"/>
          <w:szCs w:val="24"/>
        </w:rPr>
        <w:lastRenderedPageBreak/>
        <w:t>Согласно пункту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28.06.2017, разъяснено, что по общему правилу указание заказчиком в аукционной документации особых характеристик в отношении объекта закупки,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5616F2" w:rsidRDefault="005616F2" w:rsidP="005616F2">
      <w:pPr>
        <w:suppressAutoHyphens w:val="0"/>
        <w:autoSpaceDE w:val="0"/>
        <w:autoSpaceDN w:val="0"/>
        <w:ind w:right="-1" w:firstLine="710"/>
        <w:jc w:val="both"/>
        <w:rPr>
          <w:sz w:val="24"/>
          <w:szCs w:val="24"/>
        </w:rPr>
      </w:pPr>
      <w:r>
        <w:rPr>
          <w:sz w:val="24"/>
          <w:szCs w:val="24"/>
        </w:rPr>
        <w:t>В ходе заседания Комиссии представители заказчика подтвердили, что предмет закупки будет применяться совместно с «Анализатор гематологический XS-500i, с принадлежностями» производства компании «</w:t>
      </w:r>
      <w:proofErr w:type="spellStart"/>
      <w:r>
        <w:rPr>
          <w:sz w:val="24"/>
          <w:szCs w:val="24"/>
        </w:rPr>
        <w:t>Sysmex</w:t>
      </w:r>
      <w:proofErr w:type="spellEnd"/>
      <w:r>
        <w:rPr>
          <w:sz w:val="24"/>
          <w:szCs w:val="24"/>
        </w:rPr>
        <w:t xml:space="preserve"> </w:t>
      </w:r>
      <w:proofErr w:type="spellStart"/>
      <w:r>
        <w:rPr>
          <w:sz w:val="24"/>
          <w:szCs w:val="24"/>
        </w:rPr>
        <w:t>Corporation</w:t>
      </w:r>
      <w:proofErr w:type="spellEnd"/>
      <w:r>
        <w:rPr>
          <w:sz w:val="24"/>
          <w:szCs w:val="24"/>
        </w:rPr>
        <w:t>», эксплуатируемые Заказчиком, с Регистрационным удостоверением №</w:t>
      </w:r>
      <w:r>
        <w:t xml:space="preserve"> </w:t>
      </w:r>
      <w:r>
        <w:rPr>
          <w:sz w:val="24"/>
          <w:szCs w:val="24"/>
        </w:rPr>
        <w:t>РЗН 2013/516 от 28.03.2024 (далее – РУ №</w:t>
      </w:r>
      <w:r>
        <w:t xml:space="preserve"> </w:t>
      </w:r>
      <w:r>
        <w:rPr>
          <w:sz w:val="24"/>
          <w:szCs w:val="24"/>
        </w:rPr>
        <w:t>РЗН 2013/516), размещенном на официальном сайте Росздравнадзора (</w:t>
      </w:r>
      <w:hyperlink r:id="rId7" w:history="1">
        <w:r>
          <w:rPr>
            <w:rStyle w:val="a3"/>
            <w:sz w:val="24"/>
            <w:szCs w:val="24"/>
          </w:rPr>
          <w:t>https://roszdravnadzor.gov.ru/</w:t>
        </w:r>
      </w:hyperlink>
      <w:r>
        <w:rPr>
          <w:sz w:val="24"/>
          <w:szCs w:val="24"/>
        </w:rPr>
        <w:t>).</w:t>
      </w:r>
    </w:p>
    <w:p w:rsidR="005616F2" w:rsidRDefault="005616F2" w:rsidP="005616F2">
      <w:pPr>
        <w:suppressAutoHyphens w:val="0"/>
        <w:autoSpaceDE w:val="0"/>
        <w:autoSpaceDN w:val="0"/>
        <w:ind w:right="-1" w:firstLine="710"/>
        <w:jc w:val="both"/>
        <w:rPr>
          <w:sz w:val="24"/>
          <w:szCs w:val="24"/>
        </w:rPr>
      </w:pPr>
      <w:r>
        <w:rPr>
          <w:sz w:val="24"/>
          <w:szCs w:val="24"/>
        </w:rPr>
        <w:t>Исходя из этих обстоятельств в описание объекта закупки заказчиком включено требование «совместимости» расходных материалов с оборудованием Заказчика (для полноценной непосредственной эксплуатации имеющегося у заказчика устройства (анализатора)).</w:t>
      </w:r>
    </w:p>
    <w:p w:rsidR="005616F2" w:rsidRDefault="005616F2" w:rsidP="005616F2">
      <w:pPr>
        <w:ind w:firstLine="709"/>
        <w:jc w:val="both"/>
        <w:rPr>
          <w:sz w:val="24"/>
          <w:szCs w:val="24"/>
        </w:rPr>
      </w:pPr>
      <w:r>
        <w:rPr>
          <w:sz w:val="24"/>
          <w:szCs w:val="24"/>
        </w:rPr>
        <w:t>При проверке заявки № 142 Комиссией установлено, что ООО «</w:t>
      </w:r>
      <w:proofErr w:type="spellStart"/>
      <w:r>
        <w:rPr>
          <w:sz w:val="24"/>
          <w:szCs w:val="24"/>
        </w:rPr>
        <w:t>Эколинас</w:t>
      </w:r>
      <w:proofErr w:type="spellEnd"/>
      <w:r>
        <w:rPr>
          <w:sz w:val="24"/>
          <w:szCs w:val="24"/>
        </w:rPr>
        <w:t>» предлагаются к поставке «Набор реагентов для анализаторов гематологических XS моделей 800i, 1000i «</w:t>
      </w:r>
      <w:proofErr w:type="spellStart"/>
      <w:r>
        <w:rPr>
          <w:sz w:val="24"/>
          <w:szCs w:val="24"/>
        </w:rPr>
        <w:t>Trialab</w:t>
      </w:r>
      <w:proofErr w:type="spellEnd"/>
      <w:r>
        <w:rPr>
          <w:sz w:val="24"/>
          <w:szCs w:val="24"/>
        </w:rPr>
        <w:t xml:space="preserve"> XS», производства ООО «</w:t>
      </w:r>
      <w:proofErr w:type="spellStart"/>
      <w:r>
        <w:rPr>
          <w:sz w:val="24"/>
          <w:szCs w:val="24"/>
        </w:rPr>
        <w:t>Триалаб</w:t>
      </w:r>
      <w:proofErr w:type="spellEnd"/>
      <w:r>
        <w:rPr>
          <w:sz w:val="24"/>
          <w:szCs w:val="24"/>
        </w:rPr>
        <w:t>», Россия, с Регистрационным удостоверением № РЗН 2018/6936 от 16.03.2018 г. (далее – РУ № РЗН 2018/6936).</w:t>
      </w:r>
      <w:r>
        <w:rPr>
          <w:sz w:val="24"/>
          <w:szCs w:val="24"/>
          <w:highlight w:val="yellow"/>
        </w:rPr>
        <w:t xml:space="preserve"> </w:t>
      </w:r>
    </w:p>
    <w:p w:rsidR="005616F2" w:rsidRDefault="005616F2" w:rsidP="005616F2">
      <w:pPr>
        <w:suppressAutoHyphens w:val="0"/>
        <w:autoSpaceDE w:val="0"/>
        <w:autoSpaceDN w:val="0"/>
        <w:ind w:right="-1" w:firstLine="710"/>
        <w:jc w:val="both"/>
        <w:rPr>
          <w:sz w:val="24"/>
          <w:szCs w:val="24"/>
        </w:rPr>
      </w:pPr>
      <w:r>
        <w:rPr>
          <w:sz w:val="24"/>
          <w:szCs w:val="24"/>
        </w:rPr>
        <w:t xml:space="preserve">Обратившись к содержанию Руководства по эксплуатации к РУ № РЗН 2013/516 «Анализатор гематологический XS-500i, с принадлежностями, производства </w:t>
      </w:r>
      <w:proofErr w:type="spellStart"/>
      <w:r>
        <w:rPr>
          <w:sz w:val="24"/>
          <w:szCs w:val="24"/>
        </w:rPr>
        <w:t>Sysmex</w:t>
      </w:r>
      <w:proofErr w:type="spellEnd"/>
      <w:r>
        <w:rPr>
          <w:sz w:val="24"/>
          <w:szCs w:val="24"/>
        </w:rPr>
        <w:t xml:space="preserve"> </w:t>
      </w:r>
      <w:proofErr w:type="spellStart"/>
      <w:r>
        <w:rPr>
          <w:sz w:val="24"/>
          <w:szCs w:val="24"/>
        </w:rPr>
        <w:t>Corporation</w:t>
      </w:r>
      <w:proofErr w:type="spellEnd"/>
      <w:r>
        <w:rPr>
          <w:sz w:val="24"/>
          <w:szCs w:val="24"/>
        </w:rPr>
        <w:t>, Япония», размещенному на официальном сайте Росздравнадзора (</w:t>
      </w:r>
      <w:hyperlink r:id="rId8" w:history="1">
        <w:r>
          <w:rPr>
            <w:rStyle w:val="a3"/>
            <w:sz w:val="24"/>
            <w:szCs w:val="24"/>
          </w:rPr>
          <w:t>https://roszdravnadzor.gov.ru/</w:t>
        </w:r>
      </w:hyperlink>
      <w:r>
        <w:rPr>
          <w:sz w:val="24"/>
          <w:szCs w:val="24"/>
        </w:rPr>
        <w:t>), Комиссия установила, что в последнем указаны следующие реагенты:</w:t>
      </w:r>
    </w:p>
    <w:p w:rsidR="005616F2" w:rsidRDefault="005616F2" w:rsidP="005616F2">
      <w:pPr>
        <w:suppressAutoHyphens w:val="0"/>
        <w:autoSpaceDE w:val="0"/>
        <w:autoSpaceDN w:val="0"/>
        <w:ind w:right="-1" w:firstLine="710"/>
        <w:jc w:val="both"/>
        <w:rPr>
          <w:lang w:val="en-US"/>
        </w:rPr>
      </w:pPr>
      <w:r>
        <w:rPr>
          <w:lang w:val="en-US"/>
        </w:rPr>
        <w:t xml:space="preserve">- CELLPACK; </w:t>
      </w:r>
    </w:p>
    <w:p w:rsidR="005616F2" w:rsidRDefault="005616F2" w:rsidP="005616F2">
      <w:pPr>
        <w:suppressAutoHyphens w:val="0"/>
        <w:autoSpaceDE w:val="0"/>
        <w:autoSpaceDN w:val="0"/>
        <w:ind w:right="-1" w:firstLine="710"/>
        <w:jc w:val="both"/>
        <w:rPr>
          <w:lang w:val="en-US"/>
        </w:rPr>
      </w:pPr>
      <w:r>
        <w:rPr>
          <w:lang w:val="en-US"/>
        </w:rPr>
        <w:lastRenderedPageBreak/>
        <w:t>- STROMATOLYSER-4DL;</w:t>
      </w:r>
    </w:p>
    <w:p w:rsidR="005616F2" w:rsidRDefault="005616F2" w:rsidP="005616F2">
      <w:pPr>
        <w:suppressAutoHyphens w:val="0"/>
        <w:autoSpaceDE w:val="0"/>
        <w:autoSpaceDN w:val="0"/>
        <w:ind w:right="-1" w:firstLine="710"/>
        <w:jc w:val="both"/>
        <w:rPr>
          <w:lang w:val="en-US"/>
        </w:rPr>
      </w:pPr>
      <w:r>
        <w:rPr>
          <w:lang w:val="en-US"/>
        </w:rPr>
        <w:t>- STROMATOLYSER-4DS;</w:t>
      </w:r>
    </w:p>
    <w:p w:rsidR="005616F2" w:rsidRDefault="005616F2" w:rsidP="005616F2">
      <w:pPr>
        <w:suppressAutoHyphens w:val="0"/>
        <w:autoSpaceDE w:val="0"/>
        <w:autoSpaceDN w:val="0"/>
        <w:ind w:right="-1" w:firstLine="710"/>
        <w:jc w:val="both"/>
        <w:rPr>
          <w:lang w:val="en-US"/>
        </w:rPr>
      </w:pPr>
      <w:r>
        <w:rPr>
          <w:lang w:val="en-US"/>
        </w:rPr>
        <w:t>- SULFOLYSER;</w:t>
      </w:r>
    </w:p>
    <w:p w:rsidR="005616F2" w:rsidRDefault="005616F2" w:rsidP="005616F2">
      <w:pPr>
        <w:suppressAutoHyphens w:val="0"/>
        <w:autoSpaceDE w:val="0"/>
        <w:autoSpaceDN w:val="0"/>
        <w:ind w:right="-1" w:firstLine="710"/>
        <w:jc w:val="both"/>
        <w:rPr>
          <w:lang w:val="en-US"/>
        </w:rPr>
      </w:pPr>
      <w:r>
        <w:rPr>
          <w:lang w:val="en-US"/>
        </w:rPr>
        <w:t>- CELLCLEAN;</w:t>
      </w:r>
    </w:p>
    <w:p w:rsidR="005616F2" w:rsidRDefault="005616F2" w:rsidP="005616F2">
      <w:pPr>
        <w:suppressAutoHyphens w:val="0"/>
        <w:autoSpaceDE w:val="0"/>
        <w:autoSpaceDN w:val="0"/>
        <w:ind w:right="-1" w:firstLine="710"/>
        <w:jc w:val="both"/>
        <w:rPr>
          <w:sz w:val="24"/>
          <w:szCs w:val="24"/>
          <w:highlight w:val="yellow"/>
          <w:lang w:val="en-US"/>
        </w:rPr>
      </w:pPr>
      <w:r>
        <w:rPr>
          <w:lang w:val="en-US"/>
        </w:rPr>
        <w:t>- e-</w:t>
      </w:r>
      <w:proofErr w:type="gramStart"/>
      <w:r>
        <w:rPr>
          <w:lang w:val="en-US"/>
        </w:rPr>
        <w:t>CHECK(</w:t>
      </w:r>
      <w:proofErr w:type="gramEnd"/>
      <w:r>
        <w:rPr>
          <w:lang w:val="en-US"/>
        </w:rPr>
        <w:t>XS).</w:t>
      </w:r>
    </w:p>
    <w:p w:rsidR="005616F2" w:rsidRDefault="005616F2" w:rsidP="005616F2">
      <w:pPr>
        <w:suppressAutoHyphens w:val="0"/>
        <w:autoSpaceDE w:val="0"/>
        <w:autoSpaceDN w:val="0"/>
        <w:ind w:right="-1" w:firstLine="710"/>
        <w:jc w:val="both"/>
        <w:rPr>
          <w:b/>
          <w:sz w:val="24"/>
          <w:szCs w:val="24"/>
        </w:rPr>
      </w:pPr>
      <w:r>
        <w:rPr>
          <w:b/>
          <w:sz w:val="24"/>
          <w:szCs w:val="24"/>
        </w:rPr>
        <w:t>Непосредственно производитель в данном Руководстве указал следующее:</w:t>
      </w:r>
    </w:p>
    <w:p w:rsidR="005616F2" w:rsidRDefault="005616F2" w:rsidP="005616F2">
      <w:pPr>
        <w:suppressAutoHyphens w:val="0"/>
        <w:autoSpaceDE w:val="0"/>
        <w:autoSpaceDN w:val="0"/>
        <w:ind w:right="-1" w:firstLine="710"/>
        <w:jc w:val="both"/>
        <w:rPr>
          <w:sz w:val="24"/>
          <w:szCs w:val="24"/>
        </w:rPr>
      </w:pPr>
      <w:r>
        <w:rPr>
          <w:sz w:val="24"/>
          <w:szCs w:val="24"/>
        </w:rPr>
        <w:t>- на странице 13 (</w:t>
      </w:r>
      <w:r>
        <w:rPr>
          <w:i/>
          <w:sz w:val="24"/>
          <w:szCs w:val="24"/>
        </w:rPr>
        <w:t>файла Руководства</w:t>
      </w:r>
      <w:r>
        <w:rPr>
          <w:sz w:val="24"/>
          <w:szCs w:val="24"/>
        </w:rPr>
        <w:t xml:space="preserve">) «Точность результатов анализа не гарантируется при нарушении инструкций, которые приводятся в данном руководстве пользователя. Используйте только те реагенты, которые упоминаются в данном руководстве. Если прибор функционирует не должным образом в результате действий пользователя или неверного использования программы, действие гарантии на прибор прекращается»; </w:t>
      </w:r>
    </w:p>
    <w:p w:rsidR="005616F2" w:rsidRDefault="005616F2" w:rsidP="005616F2">
      <w:pPr>
        <w:suppressAutoHyphens w:val="0"/>
        <w:autoSpaceDE w:val="0"/>
        <w:autoSpaceDN w:val="0"/>
        <w:ind w:right="-1" w:firstLine="710"/>
        <w:jc w:val="both"/>
        <w:rPr>
          <w:sz w:val="24"/>
          <w:szCs w:val="24"/>
        </w:rPr>
      </w:pPr>
      <w:r>
        <w:rPr>
          <w:sz w:val="24"/>
          <w:szCs w:val="24"/>
        </w:rPr>
        <w:t>- на странице 33 (</w:t>
      </w:r>
      <w:r>
        <w:rPr>
          <w:i/>
          <w:sz w:val="24"/>
          <w:szCs w:val="24"/>
        </w:rPr>
        <w:t>файла Руководства</w:t>
      </w:r>
      <w:r>
        <w:rPr>
          <w:sz w:val="24"/>
          <w:szCs w:val="24"/>
        </w:rPr>
        <w:t xml:space="preserve">) «Аппарат рассчитан на использование четырех типов реагентов. Все они специально предназначены для оборудования </w:t>
      </w:r>
      <w:proofErr w:type="spellStart"/>
      <w:r>
        <w:rPr>
          <w:sz w:val="24"/>
          <w:szCs w:val="24"/>
        </w:rPr>
        <w:t>Sysmex</w:t>
      </w:r>
      <w:proofErr w:type="spellEnd"/>
      <w:r>
        <w:rPr>
          <w:sz w:val="24"/>
          <w:szCs w:val="24"/>
        </w:rPr>
        <w:t xml:space="preserve">»; </w:t>
      </w:r>
    </w:p>
    <w:p w:rsidR="005616F2" w:rsidRDefault="005616F2" w:rsidP="005616F2">
      <w:pPr>
        <w:suppressAutoHyphens w:val="0"/>
        <w:autoSpaceDE w:val="0"/>
        <w:autoSpaceDN w:val="0"/>
        <w:ind w:right="-1" w:firstLine="710"/>
        <w:jc w:val="both"/>
        <w:rPr>
          <w:sz w:val="24"/>
          <w:szCs w:val="24"/>
        </w:rPr>
      </w:pPr>
      <w:r>
        <w:rPr>
          <w:sz w:val="24"/>
          <w:szCs w:val="24"/>
        </w:rPr>
        <w:t>-</w:t>
      </w:r>
      <w:r>
        <w:t xml:space="preserve"> </w:t>
      </w:r>
      <w:r>
        <w:rPr>
          <w:sz w:val="24"/>
          <w:szCs w:val="24"/>
        </w:rPr>
        <w:t xml:space="preserve">на странице 229 </w:t>
      </w:r>
      <w:r>
        <w:rPr>
          <w:i/>
          <w:sz w:val="24"/>
          <w:szCs w:val="24"/>
        </w:rPr>
        <w:t>(файла Руководства)</w:t>
      </w:r>
      <w:r>
        <w:rPr>
          <w:sz w:val="24"/>
          <w:szCs w:val="24"/>
        </w:rPr>
        <w:t xml:space="preserve"> «На все изделия </w:t>
      </w:r>
      <w:proofErr w:type="spellStart"/>
      <w:r>
        <w:rPr>
          <w:sz w:val="24"/>
          <w:szCs w:val="24"/>
        </w:rPr>
        <w:t>Sysmex</w:t>
      </w:r>
      <w:proofErr w:type="spellEnd"/>
      <w:r>
        <w:rPr>
          <w:sz w:val="24"/>
          <w:szCs w:val="24"/>
        </w:rPr>
        <w:t xml:space="preserve"> предоставляется гарантия в отношении дефектов материала или исполнения, срок гарантии - 1 год, начиная с даты установки в помещении заказчика. Гарантия не распространяется на дефекты, неисправности или повреждения, вызванные следующими причинами: … • применение несоответствующих реагентов и расходных материалов, отличных от предусмотренных для данного изделия».</w:t>
      </w:r>
    </w:p>
    <w:p w:rsidR="005616F2" w:rsidRDefault="005616F2" w:rsidP="005616F2">
      <w:pPr>
        <w:suppressAutoHyphens w:val="0"/>
        <w:autoSpaceDE w:val="0"/>
        <w:autoSpaceDN w:val="0"/>
        <w:ind w:right="-1" w:firstLine="710"/>
        <w:jc w:val="both"/>
        <w:rPr>
          <w:sz w:val="24"/>
          <w:szCs w:val="24"/>
        </w:rPr>
      </w:pPr>
      <w:r>
        <w:rPr>
          <w:sz w:val="24"/>
          <w:szCs w:val="24"/>
        </w:rPr>
        <w:t>Производителем явно указывается на недопустимость применения расходных материалов иных производителей, по причине возможной несовместимости.</w:t>
      </w:r>
    </w:p>
    <w:p w:rsidR="005616F2" w:rsidRDefault="005616F2" w:rsidP="005616F2">
      <w:pPr>
        <w:suppressAutoHyphens w:val="0"/>
        <w:autoSpaceDE w:val="0"/>
        <w:autoSpaceDN w:val="0"/>
        <w:ind w:right="-1" w:firstLine="710"/>
        <w:jc w:val="both"/>
        <w:rPr>
          <w:sz w:val="24"/>
          <w:szCs w:val="24"/>
        </w:rPr>
      </w:pPr>
      <w:r>
        <w:rPr>
          <w:sz w:val="24"/>
          <w:szCs w:val="24"/>
        </w:rPr>
        <w:t>Вместе с тем, Комиссия считает необходимым отметить, что Арбитражным судом Республики Башкортостан, Восемнадцатым арбитражным апелляционным судом, Арбитражным судом Уральского округа в рамках дела N А07-22877/2022 (Постановление Арбитражного суда Уральского округа от 21 сентября 2023 г. N Ф09-5698/23) указано следующее.</w:t>
      </w:r>
    </w:p>
    <w:p w:rsidR="005616F2" w:rsidRDefault="005616F2" w:rsidP="005616F2">
      <w:pPr>
        <w:suppressAutoHyphens w:val="0"/>
        <w:autoSpaceDE w:val="0"/>
        <w:autoSpaceDN w:val="0"/>
        <w:ind w:right="-1" w:firstLine="710"/>
        <w:jc w:val="both"/>
        <w:rPr>
          <w:sz w:val="24"/>
          <w:szCs w:val="24"/>
        </w:rPr>
      </w:pPr>
      <w:r>
        <w:rPr>
          <w:sz w:val="24"/>
          <w:szCs w:val="24"/>
        </w:rPr>
        <w:t xml:space="preserve">«В соответствии с действующим законодательством </w:t>
      </w:r>
      <w:r>
        <w:rPr>
          <w:sz w:val="24"/>
          <w:szCs w:val="24"/>
          <w:u w:val="single"/>
        </w:rPr>
        <w:t>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w:t>
      </w:r>
      <w:r>
        <w:rPr>
          <w:sz w:val="24"/>
          <w:szCs w:val="24"/>
        </w:rPr>
        <w:t xml:space="preserve"> </w:t>
      </w:r>
      <w:r>
        <w:rPr>
          <w:sz w:val="24"/>
          <w:szCs w:val="24"/>
          <w:u w:val="single"/>
        </w:rPr>
        <w:t>Совместное применение таких изделий без проведенных экспертиз на совместность может привести к причинению вреда жизни, здоровью граждан и медицинских работников</w:t>
      </w:r>
      <w:r>
        <w:rPr>
          <w:sz w:val="24"/>
          <w:szCs w:val="24"/>
        </w:rPr>
        <w:t>. Корреспондирующий правовой подход изложен в решении Верховного Суда РФ от 16.08.2021 N АКПИ21-444 (письмо Росздравнадзора от 05.02.2016 N 09-С-571-14144).</w:t>
      </w:r>
    </w:p>
    <w:p w:rsidR="005616F2" w:rsidRDefault="005616F2" w:rsidP="005616F2">
      <w:pPr>
        <w:suppressAutoHyphens w:val="0"/>
        <w:autoSpaceDE w:val="0"/>
        <w:autoSpaceDN w:val="0"/>
        <w:ind w:right="-1" w:firstLine="710"/>
        <w:jc w:val="both"/>
        <w:rPr>
          <w:sz w:val="24"/>
          <w:szCs w:val="24"/>
        </w:rPr>
      </w:pPr>
      <w:r>
        <w:rPr>
          <w:sz w:val="24"/>
          <w:szCs w:val="24"/>
        </w:rPr>
        <w:t>Следует добавить, что письмом Росздравнадзора от 05.02.2016 № 09-С-571-14114 установлено, что возможность эксплуатации медицинского оборудования определяется производителем медицинского оборудования. Совместное применение таких изделий без проведенных экспертиз на совместимость может привести к причинению вреда жизни, здоровью граждан и медицинских работников.</w:t>
      </w:r>
    </w:p>
    <w:p w:rsidR="005616F2" w:rsidRDefault="005616F2" w:rsidP="005616F2">
      <w:pPr>
        <w:suppressAutoHyphens w:val="0"/>
        <w:autoSpaceDE w:val="0"/>
        <w:autoSpaceDN w:val="0"/>
        <w:ind w:right="-1" w:firstLine="710"/>
        <w:jc w:val="both"/>
        <w:rPr>
          <w:sz w:val="24"/>
          <w:szCs w:val="24"/>
        </w:rPr>
      </w:pPr>
      <w:r>
        <w:rPr>
          <w:sz w:val="24"/>
          <w:szCs w:val="24"/>
        </w:rPr>
        <w:t>В соответствии с письмом Росздравнадзора № 04-31270/17 от 22.06.2017 можно утверждать, что совместная эксплуатация отдельно зарегистрированных медицинских изделий одного производителя и принадлежностей возможна при условии указания в документации производителя возможности совместного использования и подтверждения результатами экспертиз качества, эффективности и безопасности медицинских изделий.</w:t>
      </w:r>
    </w:p>
    <w:p w:rsidR="005616F2" w:rsidRDefault="005616F2" w:rsidP="005616F2">
      <w:pPr>
        <w:suppressAutoHyphens w:val="0"/>
        <w:autoSpaceDE w:val="0"/>
        <w:autoSpaceDN w:val="0"/>
        <w:ind w:right="-1" w:firstLine="710"/>
        <w:jc w:val="both"/>
        <w:rPr>
          <w:sz w:val="24"/>
          <w:szCs w:val="24"/>
        </w:rPr>
      </w:pPr>
      <w:r>
        <w:rPr>
          <w:sz w:val="24"/>
          <w:szCs w:val="24"/>
        </w:rPr>
        <w:t>Возможность совместного применения медицинских изделий определяется в процессе государственной регистрации медицинских изделий (письмо Росздравнадзора № 10-60008-20 от 12.10.2020).</w:t>
      </w:r>
    </w:p>
    <w:p w:rsidR="005616F2" w:rsidRDefault="005616F2" w:rsidP="005616F2">
      <w:pPr>
        <w:suppressAutoHyphens w:val="0"/>
        <w:autoSpaceDE w:val="0"/>
        <w:autoSpaceDN w:val="0"/>
        <w:ind w:right="-1" w:firstLine="710"/>
        <w:jc w:val="both"/>
        <w:rPr>
          <w:sz w:val="24"/>
          <w:szCs w:val="24"/>
        </w:rPr>
      </w:pPr>
      <w:r>
        <w:rPr>
          <w:sz w:val="24"/>
          <w:szCs w:val="24"/>
        </w:rPr>
        <w:t>Таким образом,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что впоследствии подтверждается выданным Росздравнадзором регистрационным удостоверением.</w:t>
      </w:r>
    </w:p>
    <w:p w:rsidR="005616F2" w:rsidRDefault="005616F2" w:rsidP="005616F2">
      <w:pPr>
        <w:suppressAutoHyphens w:val="0"/>
        <w:autoSpaceDE w:val="0"/>
        <w:autoSpaceDN w:val="0"/>
        <w:ind w:right="-1" w:firstLine="710"/>
        <w:jc w:val="both"/>
        <w:rPr>
          <w:sz w:val="24"/>
          <w:szCs w:val="24"/>
        </w:rPr>
      </w:pPr>
      <w:r>
        <w:rPr>
          <w:sz w:val="24"/>
          <w:szCs w:val="24"/>
        </w:rPr>
        <w:t>Предложенные реагенты ООО «</w:t>
      </w:r>
      <w:proofErr w:type="spellStart"/>
      <w:r>
        <w:rPr>
          <w:sz w:val="24"/>
          <w:szCs w:val="24"/>
        </w:rPr>
        <w:t>Триалаб</w:t>
      </w:r>
      <w:proofErr w:type="spellEnd"/>
      <w:r>
        <w:rPr>
          <w:sz w:val="24"/>
          <w:szCs w:val="24"/>
        </w:rPr>
        <w:t xml:space="preserve">» не упоминаются в Руководстве по эксплуатации оборудования заказчика, какие-либо документы (доказательства), из </w:t>
      </w:r>
      <w:r>
        <w:rPr>
          <w:sz w:val="24"/>
          <w:szCs w:val="24"/>
        </w:rPr>
        <w:lastRenderedPageBreak/>
        <w:t>содержания которых однозначным образом следует, что производитель оборудования «</w:t>
      </w:r>
      <w:proofErr w:type="spellStart"/>
      <w:r>
        <w:rPr>
          <w:sz w:val="24"/>
          <w:szCs w:val="24"/>
        </w:rPr>
        <w:t>Sysmex</w:t>
      </w:r>
      <w:proofErr w:type="spellEnd"/>
      <w:r>
        <w:rPr>
          <w:sz w:val="24"/>
          <w:szCs w:val="24"/>
        </w:rPr>
        <w:t xml:space="preserve"> </w:t>
      </w:r>
      <w:proofErr w:type="spellStart"/>
      <w:r>
        <w:rPr>
          <w:sz w:val="24"/>
          <w:szCs w:val="24"/>
        </w:rPr>
        <w:t>Corporation</w:t>
      </w:r>
      <w:proofErr w:type="spellEnd"/>
      <w:r>
        <w:rPr>
          <w:sz w:val="24"/>
          <w:szCs w:val="24"/>
        </w:rPr>
        <w:t>» подтверждает, что его медицинское оборудование (Анализатор гематологический XS-500i) возможно применять совместно с реагентами ООО «</w:t>
      </w:r>
      <w:proofErr w:type="spellStart"/>
      <w:r>
        <w:rPr>
          <w:sz w:val="24"/>
          <w:szCs w:val="24"/>
        </w:rPr>
        <w:t>Триалаб</w:t>
      </w:r>
      <w:proofErr w:type="spellEnd"/>
      <w:r>
        <w:rPr>
          <w:sz w:val="24"/>
          <w:szCs w:val="24"/>
        </w:rPr>
        <w:t>» без какого-либо риска поломки/повреждения оборудования, риска для жизни и здоровья пациентов медицинского учреждения, в адрес комиссии по осуществлению закупок заказчика (в составе заявки общества), в адрес Комиссии антимонопольного органа Заявителем не представлены.</w:t>
      </w:r>
    </w:p>
    <w:p w:rsidR="005616F2" w:rsidRDefault="005616F2" w:rsidP="005616F2">
      <w:pPr>
        <w:suppressAutoHyphens w:val="0"/>
        <w:autoSpaceDE w:val="0"/>
        <w:autoSpaceDN w:val="0"/>
        <w:ind w:right="-1" w:firstLine="710"/>
        <w:jc w:val="both"/>
        <w:rPr>
          <w:sz w:val="24"/>
          <w:szCs w:val="24"/>
        </w:rPr>
      </w:pPr>
      <w:r>
        <w:rPr>
          <w:sz w:val="24"/>
          <w:szCs w:val="24"/>
        </w:rPr>
        <w:t>Также необходимо обратить внимание на тот факт, что, исходя из пояснений представителей заказчика (с приложением подтверждающих позицию документов): «Заказчик 24.09.2024 сделал официальный запрос в ООО «</w:t>
      </w:r>
      <w:proofErr w:type="spellStart"/>
      <w:r>
        <w:rPr>
          <w:sz w:val="24"/>
          <w:szCs w:val="24"/>
        </w:rPr>
        <w:t>Сисмекс</w:t>
      </w:r>
      <w:proofErr w:type="spellEnd"/>
      <w:r>
        <w:rPr>
          <w:sz w:val="24"/>
          <w:szCs w:val="24"/>
        </w:rPr>
        <w:t xml:space="preserve"> РУС» - официальному представителю компании </w:t>
      </w:r>
      <w:proofErr w:type="spellStart"/>
      <w:r>
        <w:rPr>
          <w:sz w:val="24"/>
          <w:szCs w:val="24"/>
        </w:rPr>
        <w:t>Sysmex</w:t>
      </w:r>
      <w:proofErr w:type="spellEnd"/>
      <w:r>
        <w:rPr>
          <w:sz w:val="24"/>
          <w:szCs w:val="24"/>
        </w:rPr>
        <w:t xml:space="preserve"> </w:t>
      </w:r>
      <w:proofErr w:type="spellStart"/>
      <w:r>
        <w:rPr>
          <w:sz w:val="24"/>
          <w:szCs w:val="24"/>
        </w:rPr>
        <w:t>Corporation</w:t>
      </w:r>
      <w:proofErr w:type="spellEnd"/>
      <w:r>
        <w:rPr>
          <w:sz w:val="24"/>
          <w:szCs w:val="24"/>
        </w:rPr>
        <w:t xml:space="preserve"> (производитель оборудования) на территории Российской Федерации с просьбой пояснить, возможно ли применение реагентов производства ООО «</w:t>
      </w:r>
      <w:proofErr w:type="spellStart"/>
      <w:r>
        <w:rPr>
          <w:sz w:val="24"/>
          <w:szCs w:val="24"/>
        </w:rPr>
        <w:t>Триалаб</w:t>
      </w:r>
      <w:proofErr w:type="spellEnd"/>
      <w:r>
        <w:rPr>
          <w:sz w:val="24"/>
          <w:szCs w:val="24"/>
        </w:rPr>
        <w:t>» с оборудованием Анализатор гематологический XS-500i. Из полученных ответов (Исх. № 438, 439 от 24.09.2024, вх. № 1230, 1231 от 3 24.09.2024) следует, что использование не подтвержденных Руководством по эксплуатации и производителем реагентов может сократить срок службы анализатора, увеличить расходы на его обслуживание, снизить производительность системы и увеличить трудозатраты лаборатории, а также не может гарантировать качества получаемых результатов, эффективности и безопасности работы оборудования во всем диапазоне заявленных характеристик, включая работы с патологическими образцами…».</w:t>
      </w:r>
    </w:p>
    <w:p w:rsidR="005616F2" w:rsidRDefault="005616F2" w:rsidP="005616F2">
      <w:pPr>
        <w:suppressAutoHyphens w:val="0"/>
        <w:autoSpaceDE w:val="0"/>
        <w:autoSpaceDN w:val="0"/>
        <w:ind w:right="-1" w:firstLine="710"/>
        <w:jc w:val="both"/>
        <w:rPr>
          <w:sz w:val="24"/>
          <w:szCs w:val="24"/>
        </w:rPr>
      </w:pPr>
      <w:r>
        <w:rPr>
          <w:sz w:val="24"/>
          <w:szCs w:val="24"/>
        </w:rPr>
        <w:t xml:space="preserve">Кроме того, Комиссия обращает внимание, что из вышеуказанного ответа на запрос официального представителя компании </w:t>
      </w:r>
      <w:proofErr w:type="spellStart"/>
      <w:r>
        <w:rPr>
          <w:sz w:val="24"/>
          <w:szCs w:val="24"/>
        </w:rPr>
        <w:t>Sysmex</w:t>
      </w:r>
      <w:proofErr w:type="spellEnd"/>
      <w:r>
        <w:rPr>
          <w:sz w:val="24"/>
          <w:szCs w:val="24"/>
        </w:rPr>
        <w:t xml:space="preserve"> </w:t>
      </w:r>
      <w:proofErr w:type="spellStart"/>
      <w:r>
        <w:rPr>
          <w:sz w:val="24"/>
          <w:szCs w:val="24"/>
        </w:rPr>
        <w:t>Corporation</w:t>
      </w:r>
      <w:proofErr w:type="spellEnd"/>
      <w:r>
        <w:rPr>
          <w:sz w:val="24"/>
          <w:szCs w:val="24"/>
        </w:rPr>
        <w:t xml:space="preserve"> и пункта 6.10 Руководства по эксплуатации к РУ № РЗН 2013/516 (</w:t>
      </w:r>
      <w:r>
        <w:rPr>
          <w:i/>
          <w:sz w:val="24"/>
          <w:szCs w:val="24"/>
        </w:rPr>
        <w:t>страница 51 файла Руководства</w:t>
      </w:r>
      <w:r>
        <w:rPr>
          <w:sz w:val="24"/>
          <w:szCs w:val="24"/>
        </w:rPr>
        <w:t>) следует, что данный анализаторы работает как с венозной, так и с капиллярной кровью.</w:t>
      </w:r>
    </w:p>
    <w:p w:rsidR="005616F2" w:rsidRDefault="005616F2" w:rsidP="005616F2">
      <w:pPr>
        <w:suppressAutoHyphens w:val="0"/>
        <w:autoSpaceDE w:val="0"/>
        <w:autoSpaceDN w:val="0"/>
        <w:ind w:right="-1" w:firstLine="710"/>
        <w:jc w:val="both"/>
        <w:rPr>
          <w:sz w:val="24"/>
          <w:szCs w:val="24"/>
        </w:rPr>
      </w:pPr>
      <w:r>
        <w:rPr>
          <w:sz w:val="24"/>
          <w:szCs w:val="24"/>
        </w:rPr>
        <w:t>Однако в главе 4.1 Инструкции по применению медицинского изделия «</w:t>
      </w:r>
      <w:proofErr w:type="spellStart"/>
      <w:r>
        <w:rPr>
          <w:sz w:val="24"/>
          <w:szCs w:val="24"/>
        </w:rPr>
        <w:t>Trialab</w:t>
      </w:r>
      <w:proofErr w:type="spellEnd"/>
      <w:r>
        <w:rPr>
          <w:sz w:val="24"/>
          <w:szCs w:val="24"/>
        </w:rPr>
        <w:t xml:space="preserve"> XS» к РУ № РЗН 2018/6936 от 16.03.2018, прямо указано ограничение: «Не рекомендуется использовать для исследования образцы капиллярной крови (из мочки уха, пальца или пятки младенца) вследствие отсутствия данных производителя об исследовании образцов такого типа реагентами, входящими в состав «</w:t>
      </w:r>
      <w:proofErr w:type="spellStart"/>
      <w:r>
        <w:rPr>
          <w:sz w:val="24"/>
          <w:szCs w:val="24"/>
        </w:rPr>
        <w:t>Trialab</w:t>
      </w:r>
      <w:proofErr w:type="spellEnd"/>
      <w:r>
        <w:rPr>
          <w:sz w:val="24"/>
          <w:szCs w:val="24"/>
        </w:rPr>
        <w:t xml:space="preserve"> XS». </w:t>
      </w:r>
    </w:p>
    <w:p w:rsidR="005616F2" w:rsidRDefault="005616F2" w:rsidP="005616F2">
      <w:pPr>
        <w:suppressAutoHyphens w:val="0"/>
        <w:autoSpaceDE w:val="0"/>
        <w:autoSpaceDN w:val="0"/>
        <w:ind w:right="-1" w:firstLine="710"/>
        <w:jc w:val="both"/>
        <w:rPr>
          <w:sz w:val="24"/>
          <w:szCs w:val="24"/>
        </w:rPr>
      </w:pPr>
      <w:r>
        <w:rPr>
          <w:sz w:val="24"/>
          <w:szCs w:val="24"/>
        </w:rPr>
        <w:t>При этом, представители заказчика пояснили, что в силу специфики деятельности учреждения, работники больницы для проведения медицинских исследований в большинстве случаев осуществляют забор образцов капиллярной крови (из мочки уха, пальца или пятки младенца).</w:t>
      </w:r>
    </w:p>
    <w:p w:rsidR="005616F2" w:rsidRDefault="005616F2" w:rsidP="005616F2">
      <w:pPr>
        <w:suppressAutoHyphens w:val="0"/>
        <w:autoSpaceDE w:val="0"/>
        <w:autoSpaceDN w:val="0"/>
        <w:ind w:right="-1" w:firstLine="710"/>
        <w:jc w:val="both"/>
        <w:rPr>
          <w:sz w:val="24"/>
          <w:szCs w:val="24"/>
        </w:rPr>
      </w:pPr>
      <w:r>
        <w:rPr>
          <w:sz w:val="24"/>
          <w:szCs w:val="24"/>
        </w:rPr>
        <w:t>Таким образом, Комиссия считает, что, исходя из вышеизложенного, можно сделать вывод, что производителем «</w:t>
      </w:r>
      <w:proofErr w:type="spellStart"/>
      <w:r>
        <w:rPr>
          <w:sz w:val="24"/>
          <w:szCs w:val="24"/>
        </w:rPr>
        <w:t>Sysmex</w:t>
      </w:r>
      <w:proofErr w:type="spellEnd"/>
      <w:r>
        <w:rPr>
          <w:sz w:val="24"/>
          <w:szCs w:val="24"/>
        </w:rPr>
        <w:t xml:space="preserve"> </w:t>
      </w:r>
      <w:proofErr w:type="spellStart"/>
      <w:r>
        <w:rPr>
          <w:sz w:val="24"/>
          <w:szCs w:val="24"/>
        </w:rPr>
        <w:t>Corporation</w:t>
      </w:r>
      <w:proofErr w:type="spellEnd"/>
      <w:r>
        <w:rPr>
          <w:sz w:val="24"/>
          <w:szCs w:val="24"/>
        </w:rPr>
        <w:t>» явно указывается на недопустимость применения расходных материалов иных производителей, по причине несовместимости; из содержания Руководства по эксплуатации реагентов ООО «</w:t>
      </w:r>
      <w:proofErr w:type="spellStart"/>
      <w:r>
        <w:rPr>
          <w:sz w:val="24"/>
          <w:szCs w:val="24"/>
        </w:rPr>
        <w:t>Триалаб</w:t>
      </w:r>
      <w:proofErr w:type="spellEnd"/>
      <w:r>
        <w:rPr>
          <w:sz w:val="24"/>
          <w:szCs w:val="24"/>
        </w:rPr>
        <w:t>» можно сделать вывод, что последние совместно с имеющимся в распоряжении заказчика анализатором «</w:t>
      </w:r>
      <w:proofErr w:type="spellStart"/>
      <w:r>
        <w:rPr>
          <w:sz w:val="24"/>
          <w:szCs w:val="24"/>
        </w:rPr>
        <w:t>Sysmex</w:t>
      </w:r>
      <w:proofErr w:type="spellEnd"/>
      <w:r>
        <w:rPr>
          <w:sz w:val="24"/>
          <w:szCs w:val="24"/>
        </w:rPr>
        <w:t xml:space="preserve"> </w:t>
      </w:r>
      <w:proofErr w:type="spellStart"/>
      <w:r>
        <w:rPr>
          <w:sz w:val="24"/>
          <w:szCs w:val="24"/>
        </w:rPr>
        <w:t>Corporation</w:t>
      </w:r>
      <w:proofErr w:type="spellEnd"/>
      <w:r>
        <w:rPr>
          <w:sz w:val="24"/>
          <w:szCs w:val="24"/>
        </w:rPr>
        <w:t>» применяться не могут.</w:t>
      </w:r>
    </w:p>
    <w:p w:rsidR="005616F2" w:rsidRDefault="005616F2" w:rsidP="005616F2">
      <w:pPr>
        <w:suppressAutoHyphens w:val="0"/>
        <w:autoSpaceDE w:val="0"/>
        <w:autoSpaceDN w:val="0"/>
        <w:ind w:right="-1" w:firstLine="710"/>
        <w:jc w:val="both"/>
        <w:rPr>
          <w:sz w:val="24"/>
          <w:szCs w:val="24"/>
        </w:rPr>
      </w:pPr>
      <w:r>
        <w:rPr>
          <w:sz w:val="24"/>
          <w:szCs w:val="24"/>
        </w:rPr>
        <w:t>Исходя из вышеизложенного, Комиссия приходит к выводу, что действия комиссии по осуществлению закупок заказчика по признанию заявки Заявителя несоответствующей требованиям закупочной документации полностью согласуются с требованиями законодательства о контрактной системе (отсутствуют основания для утверждения об обратном).</w:t>
      </w:r>
    </w:p>
    <w:p w:rsidR="005616F2" w:rsidRDefault="005616F2" w:rsidP="005616F2">
      <w:pPr>
        <w:suppressAutoHyphens w:val="0"/>
        <w:autoSpaceDE w:val="0"/>
        <w:autoSpaceDN w:val="0"/>
        <w:spacing w:before="1"/>
        <w:ind w:left="115" w:right="-1" w:firstLine="710"/>
        <w:jc w:val="both"/>
        <w:rPr>
          <w:sz w:val="24"/>
          <w:szCs w:val="24"/>
        </w:rPr>
      </w:pPr>
      <w:r>
        <w:rPr>
          <w:sz w:val="24"/>
          <w:szCs w:val="24"/>
        </w:rPr>
        <w:t>На основании изложенного и руководствуясь частью 8 статьи 106 Федерального закона от</w:t>
      </w:r>
      <w:r>
        <w:rPr>
          <w:spacing w:val="1"/>
          <w:sz w:val="24"/>
          <w:szCs w:val="24"/>
        </w:rPr>
        <w:t xml:space="preserve"> </w:t>
      </w:r>
      <w:r>
        <w:rPr>
          <w:sz w:val="24"/>
          <w:szCs w:val="24"/>
        </w:rPr>
        <w:t>05.04.2013г.</w:t>
      </w:r>
      <w:r>
        <w:rPr>
          <w:spacing w:val="-4"/>
          <w:sz w:val="24"/>
          <w:szCs w:val="24"/>
        </w:rPr>
        <w:t xml:space="preserve"> </w:t>
      </w:r>
      <w:r>
        <w:rPr>
          <w:sz w:val="24"/>
          <w:szCs w:val="24"/>
        </w:rPr>
        <w:t>№</w:t>
      </w:r>
      <w:r>
        <w:rPr>
          <w:spacing w:val="-4"/>
          <w:sz w:val="24"/>
          <w:szCs w:val="24"/>
        </w:rPr>
        <w:t xml:space="preserve"> </w:t>
      </w:r>
      <w:r>
        <w:rPr>
          <w:sz w:val="24"/>
          <w:szCs w:val="24"/>
        </w:rPr>
        <w:t>44-ФЗ,</w:t>
      </w:r>
      <w:r>
        <w:rPr>
          <w:spacing w:val="-5"/>
          <w:sz w:val="24"/>
          <w:szCs w:val="24"/>
        </w:rPr>
        <w:t xml:space="preserve"> </w:t>
      </w:r>
      <w:r>
        <w:rPr>
          <w:sz w:val="24"/>
          <w:szCs w:val="24"/>
        </w:rPr>
        <w:t>Комиссия</w:t>
      </w:r>
      <w:r>
        <w:rPr>
          <w:spacing w:val="-3"/>
          <w:sz w:val="24"/>
          <w:szCs w:val="24"/>
        </w:rPr>
        <w:t xml:space="preserve"> </w:t>
      </w:r>
      <w:r>
        <w:rPr>
          <w:sz w:val="24"/>
          <w:szCs w:val="24"/>
        </w:rPr>
        <w:t>Ярославского</w:t>
      </w:r>
      <w:r>
        <w:rPr>
          <w:spacing w:val="-4"/>
          <w:sz w:val="24"/>
          <w:szCs w:val="24"/>
        </w:rPr>
        <w:t xml:space="preserve"> </w:t>
      </w:r>
      <w:r>
        <w:rPr>
          <w:sz w:val="24"/>
          <w:szCs w:val="24"/>
        </w:rPr>
        <w:t>УФАС</w:t>
      </w:r>
      <w:r>
        <w:rPr>
          <w:spacing w:val="-4"/>
          <w:sz w:val="24"/>
          <w:szCs w:val="24"/>
        </w:rPr>
        <w:t xml:space="preserve"> </w:t>
      </w:r>
      <w:r>
        <w:rPr>
          <w:sz w:val="24"/>
          <w:szCs w:val="24"/>
        </w:rPr>
        <w:t>России</w:t>
      </w:r>
      <w:r>
        <w:rPr>
          <w:spacing w:val="-4"/>
          <w:sz w:val="24"/>
          <w:szCs w:val="24"/>
        </w:rPr>
        <w:t xml:space="preserve"> </w:t>
      </w:r>
      <w:r>
        <w:rPr>
          <w:sz w:val="24"/>
          <w:szCs w:val="24"/>
        </w:rPr>
        <w:t>по</w:t>
      </w:r>
      <w:r>
        <w:rPr>
          <w:spacing w:val="-4"/>
          <w:sz w:val="24"/>
          <w:szCs w:val="24"/>
        </w:rPr>
        <w:t xml:space="preserve"> </w:t>
      </w:r>
      <w:r>
        <w:rPr>
          <w:sz w:val="24"/>
          <w:szCs w:val="24"/>
        </w:rPr>
        <w:t>контролю</w:t>
      </w:r>
      <w:r>
        <w:rPr>
          <w:spacing w:val="-4"/>
          <w:sz w:val="24"/>
          <w:szCs w:val="24"/>
        </w:rPr>
        <w:t xml:space="preserve"> </w:t>
      </w:r>
      <w:r>
        <w:rPr>
          <w:sz w:val="24"/>
          <w:szCs w:val="24"/>
        </w:rPr>
        <w:t>закупок,</w:t>
      </w:r>
    </w:p>
    <w:p w:rsidR="005616F2" w:rsidRDefault="005616F2" w:rsidP="005616F2">
      <w:pPr>
        <w:suppressAutoHyphens w:val="0"/>
        <w:autoSpaceDE w:val="0"/>
        <w:autoSpaceDN w:val="0"/>
        <w:spacing w:before="11"/>
        <w:ind w:right="-1"/>
        <w:rPr>
          <w:sz w:val="24"/>
          <w:szCs w:val="24"/>
          <w:highlight w:val="yellow"/>
        </w:rPr>
      </w:pPr>
    </w:p>
    <w:p w:rsidR="005616F2" w:rsidRDefault="005616F2" w:rsidP="005616F2">
      <w:pPr>
        <w:suppressAutoHyphens w:val="0"/>
        <w:autoSpaceDE w:val="0"/>
        <w:autoSpaceDN w:val="0"/>
        <w:ind w:right="-1"/>
        <w:jc w:val="center"/>
        <w:rPr>
          <w:sz w:val="24"/>
          <w:szCs w:val="24"/>
        </w:rPr>
      </w:pPr>
      <w:proofErr w:type="gramStart"/>
      <w:r>
        <w:rPr>
          <w:sz w:val="24"/>
          <w:szCs w:val="24"/>
        </w:rPr>
        <w:t>решила</w:t>
      </w:r>
      <w:proofErr w:type="gramEnd"/>
      <w:r>
        <w:rPr>
          <w:sz w:val="24"/>
          <w:szCs w:val="24"/>
        </w:rPr>
        <w:t>:</w:t>
      </w:r>
    </w:p>
    <w:p w:rsidR="005616F2" w:rsidRDefault="005616F2" w:rsidP="005616F2">
      <w:pPr>
        <w:suppressAutoHyphens w:val="0"/>
        <w:autoSpaceDE w:val="0"/>
        <w:autoSpaceDN w:val="0"/>
        <w:ind w:right="-1"/>
        <w:rPr>
          <w:sz w:val="24"/>
          <w:szCs w:val="24"/>
        </w:rPr>
      </w:pPr>
    </w:p>
    <w:p w:rsidR="005616F2" w:rsidRDefault="005616F2" w:rsidP="005616F2">
      <w:pPr>
        <w:suppressAutoHyphens w:val="0"/>
        <w:autoSpaceDE w:val="0"/>
        <w:autoSpaceDN w:val="0"/>
        <w:ind w:left="115" w:right="-1" w:firstLine="710"/>
        <w:jc w:val="both"/>
        <w:rPr>
          <w:sz w:val="24"/>
          <w:szCs w:val="24"/>
        </w:rPr>
      </w:pPr>
      <w:proofErr w:type="gramStart"/>
      <w:r>
        <w:rPr>
          <w:sz w:val="24"/>
          <w:szCs w:val="24"/>
        </w:rPr>
        <w:t>признать</w:t>
      </w:r>
      <w:proofErr w:type="gramEnd"/>
      <w:r>
        <w:rPr>
          <w:spacing w:val="1"/>
          <w:sz w:val="24"/>
          <w:szCs w:val="24"/>
        </w:rPr>
        <w:t xml:space="preserve"> </w:t>
      </w:r>
      <w:r>
        <w:rPr>
          <w:sz w:val="24"/>
          <w:szCs w:val="24"/>
        </w:rPr>
        <w:t>жалобу</w:t>
      </w:r>
      <w:r>
        <w:rPr>
          <w:spacing w:val="1"/>
          <w:sz w:val="24"/>
          <w:szCs w:val="24"/>
        </w:rPr>
        <w:t xml:space="preserve"> ООО «ЭКОЛИНАС» на действия комиссии по осуществлению закупок заказчика, ГУЗ ЯО «Детская поликлиника № 5», при проведении электронного </w:t>
      </w:r>
      <w:r>
        <w:rPr>
          <w:spacing w:val="1"/>
          <w:sz w:val="24"/>
          <w:szCs w:val="24"/>
        </w:rPr>
        <w:lastRenderedPageBreak/>
        <w:t>аукциона на право заключения контракта на поставку реагентов для лабораторных исследований (извещение № 0371300003624000109)</w:t>
      </w:r>
      <w:r>
        <w:rPr>
          <w:spacing w:val="-7"/>
          <w:sz w:val="24"/>
          <w:szCs w:val="24"/>
        </w:rPr>
        <w:t>,</w:t>
      </w:r>
      <w:r>
        <w:rPr>
          <w:sz w:val="24"/>
          <w:szCs w:val="24"/>
        </w:rPr>
        <w:t xml:space="preserve"> необоснованной.</w:t>
      </w:r>
    </w:p>
    <w:p w:rsidR="005616F2" w:rsidRDefault="005616F2" w:rsidP="005616F2">
      <w:pPr>
        <w:suppressAutoHyphens w:val="0"/>
        <w:autoSpaceDE w:val="0"/>
        <w:autoSpaceDN w:val="0"/>
        <w:ind w:left="115" w:right="-1" w:firstLine="710"/>
        <w:jc w:val="both"/>
        <w:rPr>
          <w:sz w:val="24"/>
          <w:szCs w:val="24"/>
          <w:highlight w:val="yellow"/>
        </w:rPr>
      </w:pPr>
    </w:p>
    <w:p w:rsidR="005616F2" w:rsidRDefault="005616F2" w:rsidP="005616F2">
      <w:pPr>
        <w:suppressAutoHyphens w:val="0"/>
        <w:autoSpaceDE w:val="0"/>
        <w:autoSpaceDN w:val="0"/>
        <w:ind w:left="115" w:right="-1" w:firstLine="710"/>
        <w:jc w:val="both"/>
        <w:rPr>
          <w:sz w:val="24"/>
          <w:szCs w:val="24"/>
        </w:rPr>
      </w:pPr>
      <w:r>
        <w:rPr>
          <w:sz w:val="24"/>
          <w:szCs w:val="24"/>
        </w:rPr>
        <w:t>Настоящее</w:t>
      </w:r>
      <w:r>
        <w:rPr>
          <w:spacing w:val="1"/>
          <w:sz w:val="24"/>
          <w:szCs w:val="24"/>
        </w:rPr>
        <w:t xml:space="preserve"> </w:t>
      </w:r>
      <w:r>
        <w:rPr>
          <w:sz w:val="24"/>
          <w:szCs w:val="24"/>
        </w:rPr>
        <w:t>решение</w:t>
      </w:r>
      <w:r>
        <w:rPr>
          <w:spacing w:val="4"/>
          <w:sz w:val="24"/>
          <w:szCs w:val="24"/>
        </w:rPr>
        <w:t xml:space="preserve"> </w:t>
      </w:r>
      <w:r>
        <w:rPr>
          <w:sz w:val="24"/>
          <w:szCs w:val="24"/>
        </w:rPr>
        <w:t>может</w:t>
      </w:r>
      <w:r>
        <w:rPr>
          <w:spacing w:val="3"/>
          <w:sz w:val="24"/>
          <w:szCs w:val="24"/>
        </w:rPr>
        <w:t xml:space="preserve"> </w:t>
      </w:r>
      <w:r>
        <w:rPr>
          <w:sz w:val="24"/>
          <w:szCs w:val="24"/>
        </w:rPr>
        <w:t>быть</w:t>
      </w:r>
      <w:r>
        <w:rPr>
          <w:spacing w:val="3"/>
          <w:sz w:val="24"/>
          <w:szCs w:val="24"/>
        </w:rPr>
        <w:t xml:space="preserve"> </w:t>
      </w:r>
      <w:r>
        <w:rPr>
          <w:sz w:val="24"/>
          <w:szCs w:val="24"/>
        </w:rPr>
        <w:t>обжаловано</w:t>
      </w:r>
      <w:r>
        <w:rPr>
          <w:spacing w:val="2"/>
          <w:sz w:val="24"/>
          <w:szCs w:val="24"/>
        </w:rPr>
        <w:t xml:space="preserve"> </w:t>
      </w:r>
      <w:r>
        <w:rPr>
          <w:sz w:val="24"/>
          <w:szCs w:val="24"/>
        </w:rPr>
        <w:t>в</w:t>
      </w:r>
      <w:r>
        <w:rPr>
          <w:spacing w:val="3"/>
          <w:sz w:val="24"/>
          <w:szCs w:val="24"/>
        </w:rPr>
        <w:t xml:space="preserve"> </w:t>
      </w:r>
      <w:r>
        <w:rPr>
          <w:sz w:val="24"/>
          <w:szCs w:val="24"/>
        </w:rPr>
        <w:t>судебном</w:t>
      </w:r>
      <w:r>
        <w:rPr>
          <w:spacing w:val="3"/>
          <w:sz w:val="24"/>
          <w:szCs w:val="24"/>
        </w:rPr>
        <w:t xml:space="preserve"> </w:t>
      </w:r>
      <w:r>
        <w:rPr>
          <w:sz w:val="24"/>
          <w:szCs w:val="24"/>
        </w:rPr>
        <w:t>порядке</w:t>
      </w:r>
      <w:r>
        <w:rPr>
          <w:spacing w:val="4"/>
          <w:sz w:val="24"/>
          <w:szCs w:val="24"/>
        </w:rPr>
        <w:t xml:space="preserve"> </w:t>
      </w:r>
      <w:r>
        <w:rPr>
          <w:sz w:val="24"/>
          <w:szCs w:val="24"/>
        </w:rPr>
        <w:t>в</w:t>
      </w:r>
      <w:r>
        <w:rPr>
          <w:spacing w:val="1"/>
          <w:sz w:val="24"/>
          <w:szCs w:val="24"/>
        </w:rPr>
        <w:t xml:space="preserve"> </w:t>
      </w:r>
      <w:r>
        <w:rPr>
          <w:sz w:val="24"/>
          <w:szCs w:val="24"/>
        </w:rPr>
        <w:t>течение</w:t>
      </w:r>
      <w:r>
        <w:rPr>
          <w:spacing w:val="1"/>
          <w:sz w:val="24"/>
          <w:szCs w:val="24"/>
        </w:rPr>
        <w:t xml:space="preserve"> </w:t>
      </w:r>
      <w:r>
        <w:rPr>
          <w:sz w:val="24"/>
          <w:szCs w:val="24"/>
        </w:rPr>
        <w:t>трех</w:t>
      </w:r>
      <w:r>
        <w:rPr>
          <w:spacing w:val="2"/>
          <w:sz w:val="24"/>
          <w:szCs w:val="24"/>
        </w:rPr>
        <w:t xml:space="preserve"> </w:t>
      </w:r>
      <w:r>
        <w:rPr>
          <w:sz w:val="24"/>
          <w:szCs w:val="24"/>
        </w:rPr>
        <w:t>месяцев</w:t>
      </w:r>
      <w:r>
        <w:rPr>
          <w:spacing w:val="5"/>
          <w:sz w:val="24"/>
          <w:szCs w:val="24"/>
        </w:rPr>
        <w:t xml:space="preserve"> </w:t>
      </w:r>
      <w:r>
        <w:rPr>
          <w:sz w:val="24"/>
          <w:szCs w:val="24"/>
        </w:rPr>
        <w:t>со</w:t>
      </w:r>
      <w:r>
        <w:rPr>
          <w:spacing w:val="-57"/>
          <w:sz w:val="24"/>
          <w:szCs w:val="24"/>
        </w:rPr>
        <w:t xml:space="preserve"> </w:t>
      </w:r>
      <w:r>
        <w:rPr>
          <w:sz w:val="24"/>
          <w:szCs w:val="24"/>
        </w:rPr>
        <w:t>дня</w:t>
      </w:r>
      <w:r>
        <w:rPr>
          <w:spacing w:val="-2"/>
          <w:sz w:val="24"/>
          <w:szCs w:val="24"/>
        </w:rPr>
        <w:t xml:space="preserve"> </w:t>
      </w:r>
      <w:r>
        <w:rPr>
          <w:sz w:val="24"/>
          <w:szCs w:val="24"/>
        </w:rPr>
        <w:t>его</w:t>
      </w:r>
      <w:r>
        <w:rPr>
          <w:spacing w:val="1"/>
          <w:sz w:val="24"/>
          <w:szCs w:val="24"/>
        </w:rPr>
        <w:t xml:space="preserve"> </w:t>
      </w:r>
      <w:r>
        <w:rPr>
          <w:sz w:val="24"/>
          <w:szCs w:val="24"/>
        </w:rPr>
        <w:t>принятия.</w:t>
      </w:r>
    </w:p>
    <w:p w:rsidR="005616F2" w:rsidRDefault="005616F2" w:rsidP="005616F2">
      <w:pPr>
        <w:pStyle w:val="a4"/>
        <w:ind w:right="155"/>
        <w:jc w:val="both"/>
        <w:rPr>
          <w:sz w:val="28"/>
          <w:szCs w:val="28"/>
        </w:rPr>
      </w:pPr>
    </w:p>
    <w:p w:rsidR="00E736E0" w:rsidRDefault="00E736E0"/>
    <w:sectPr w:rsidR="00E736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9C9"/>
    <w:rsid w:val="000839C9"/>
    <w:rsid w:val="005616F2"/>
    <w:rsid w:val="00E736E0"/>
    <w:rsid w:val="00FF0F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130FAB-406B-4AAA-BBAC-2FCB5C4CC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5616F2"/>
    <w:pPr>
      <w:widowControl w:val="0"/>
      <w:suppressAutoHyphens/>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616F2"/>
    <w:rPr>
      <w:color w:val="0000FF"/>
      <w:u w:val="single"/>
    </w:rPr>
  </w:style>
  <w:style w:type="paragraph" w:styleId="a4">
    <w:name w:val="Body Text"/>
    <w:basedOn w:val="a"/>
    <w:link w:val="a5"/>
    <w:uiPriority w:val="1"/>
    <w:semiHidden/>
    <w:unhideWhenUsed/>
    <w:qFormat/>
    <w:rsid w:val="005616F2"/>
    <w:rPr>
      <w:sz w:val="26"/>
      <w:szCs w:val="26"/>
    </w:rPr>
  </w:style>
  <w:style w:type="character" w:customStyle="1" w:styleId="a5">
    <w:name w:val="Основной текст Знак"/>
    <w:basedOn w:val="a0"/>
    <w:link w:val="a4"/>
    <w:uiPriority w:val="1"/>
    <w:semiHidden/>
    <w:qFormat/>
    <w:rsid w:val="005616F2"/>
    <w:rPr>
      <w:rFonts w:ascii="Times New Roman" w:eastAsia="Times New Roman" w:hAnsi="Times New Roman" w:cs="Times New Roman"/>
      <w:sz w:val="26"/>
      <w:szCs w:val="26"/>
    </w:rPr>
  </w:style>
  <w:style w:type="table" w:customStyle="1" w:styleId="2">
    <w:name w:val="Сетка таблицы2"/>
    <w:basedOn w:val="a1"/>
    <w:uiPriority w:val="39"/>
    <w:rsid w:val="00561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215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szdravnadzor.gov.ru/" TargetMode="External"/><Relationship Id="rId3" Type="http://schemas.openxmlformats.org/officeDocument/2006/relationships/webSettings" Target="webSettings.xml"/><Relationship Id="rId7" Type="http://schemas.openxmlformats.org/officeDocument/2006/relationships/hyperlink" Target="https://roszdravnadzor.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nsultant.ru/document/cons_doc_LAW_415003/d6aec91603ff628ea274b8552ce2849e06e0aa4c/" TargetMode="External"/><Relationship Id="rId5" Type="http://schemas.openxmlformats.org/officeDocument/2006/relationships/hyperlink" Target="mailto:rudakova@brifgroup.ru" TargetMode="External"/><Relationship Id="rId10" Type="http://schemas.openxmlformats.org/officeDocument/2006/relationships/theme" Target="theme/theme1.xml"/><Relationship Id="rId4" Type="http://schemas.openxmlformats.org/officeDocument/2006/relationships/hyperlink" Target="mailto:ecolinastorg@yandex.ru"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5296</Words>
  <Characters>30193</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3</cp:revision>
  <dcterms:created xsi:type="dcterms:W3CDTF">2024-10-03T14:56:00Z</dcterms:created>
  <dcterms:modified xsi:type="dcterms:W3CDTF">2024-10-03T14:57:00Z</dcterms:modified>
</cp:coreProperties>
</file>