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6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1"/>
      </w:tblGrid>
      <w:tr w:rsidR="00270A42">
        <w:trPr>
          <w:trHeight w:val="4195"/>
          <w:jc w:val="right"/>
        </w:trPr>
        <w:tc>
          <w:tcPr>
            <w:tcW w:w="4961" w:type="dxa"/>
          </w:tcPr>
          <w:p w:rsidR="00270A42" w:rsidRDefault="00DF75D3">
            <w:pPr>
              <w:pStyle w:val="ad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Государственное бюджетное учреждение здравоохранения «Тамбовская областная клиническая больница имени В.Д. Бабенко»</w:t>
            </w:r>
            <w:r>
              <w:rPr>
                <w:sz w:val="26"/>
                <w:szCs w:val="26"/>
              </w:rPr>
              <w:br/>
              <w:t>392000, Тамбовская Область, г. Тамбов, ул. Московская, д.29</w:t>
            </w:r>
            <w:r>
              <w:rPr>
                <w:sz w:val="26"/>
                <w:szCs w:val="26"/>
              </w:rPr>
              <w:br/>
              <w:t>post@tob.tambov.gov.ru</w:t>
            </w:r>
            <w:r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br/>
              <w:t xml:space="preserve">Министерство  имущественных  отношений и </w:t>
            </w:r>
            <w:r>
              <w:rPr>
                <w:sz w:val="26"/>
                <w:szCs w:val="26"/>
              </w:rPr>
              <w:t>государственного заказа   Тамбовской области</w:t>
            </w:r>
            <w:r>
              <w:rPr>
                <w:sz w:val="26"/>
                <w:szCs w:val="26"/>
              </w:rPr>
              <w:br/>
              <w:t>392000, г. Тамбов, ул. Московская, 65</w:t>
            </w:r>
            <w:r>
              <w:rPr>
                <w:sz w:val="26"/>
                <w:szCs w:val="26"/>
              </w:rPr>
              <w:br/>
              <w:t>post@uprim.tambov.gov.ru; post@buy.tambov.gov.ru</w:t>
            </w:r>
            <w:r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br/>
              <w:t>АО «Единая электронная  торговая площадка»</w:t>
            </w:r>
            <w:r>
              <w:rPr>
                <w:sz w:val="26"/>
                <w:szCs w:val="26"/>
              </w:rPr>
              <w:br/>
              <w:t>115114, Москва,</w:t>
            </w:r>
            <w:r>
              <w:rPr>
                <w:sz w:val="26"/>
                <w:szCs w:val="26"/>
              </w:rPr>
              <w:br/>
              <w:t>ул. Кожевническая 14, стр. 5</w:t>
            </w:r>
            <w:r>
              <w:rPr>
                <w:sz w:val="26"/>
                <w:szCs w:val="26"/>
              </w:rPr>
              <w:br/>
              <w:t>ko@roseltorg.ru</w:t>
            </w:r>
            <w:r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br/>
              <w:t>ООО "АРТЕКС"</w:t>
            </w:r>
            <w:r>
              <w:rPr>
                <w:sz w:val="26"/>
                <w:szCs w:val="26"/>
              </w:rPr>
              <w:br/>
              <w:t>15301</w:t>
            </w:r>
            <w:r>
              <w:rPr>
                <w:sz w:val="26"/>
                <w:szCs w:val="26"/>
              </w:rPr>
              <w:t>3 Ивановская область, г. Иваново, ул. Павла Большевикова д.50А</w:t>
            </w:r>
            <w:r>
              <w:rPr>
                <w:sz w:val="26"/>
                <w:szCs w:val="26"/>
              </w:rPr>
              <w:br/>
              <w:t>artex37@mail.ru</w: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3" behindDoc="0" locked="0" layoutInCell="0" allowOverlap="1">
                      <wp:simplePos x="0" y="0"/>
                      <wp:positionH relativeFrom="page">
                        <wp:posOffset>1131570</wp:posOffset>
                      </wp:positionH>
                      <wp:positionV relativeFrom="page">
                        <wp:posOffset>2747645</wp:posOffset>
                      </wp:positionV>
                      <wp:extent cx="720090" cy="179705"/>
                      <wp:effectExtent l="0" t="0" r="0" b="0"/>
                      <wp:wrapNone/>
                      <wp:docPr id="2" name="Врезка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20090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270A42" w:rsidRDefault="00270A42">
                                  <w:pPr>
                                    <w:pStyle w:val="aa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Врезка2" o:spid="_x0000_s1026" type="#_x0000_t202" style="position:absolute;margin-left:89.1pt;margin-top:216.35pt;width:56.7pt;height:14.15pt;z-index:3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" o:allowincell="f" stroked="f">
                      <v:textbox inset="0,0,0,0">
                        <w:txbxContent>
                          <w:p w:rsidR="00270A42" w:rsidRDefault="00270A42">
                            <w:pPr>
                              <w:pStyle w:val="aa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  <w:lang w:eastAsia="ru-RU" w:bidi="ar-SA"/>
              </w:rPr>
              <mc:AlternateContent>
                <mc:Choice Requires="wps">
                  <w:drawing>
                    <wp:anchor distT="72390" distB="72390" distL="72390" distR="72390" simplePos="0" relativeHeight="4" behindDoc="0" locked="0" layoutInCell="0" allowOverlap="1">
                      <wp:simplePos x="0" y="0"/>
                      <wp:positionH relativeFrom="page">
                        <wp:posOffset>2258695</wp:posOffset>
                      </wp:positionH>
                      <wp:positionV relativeFrom="page">
                        <wp:posOffset>2750185</wp:posOffset>
                      </wp:positionV>
                      <wp:extent cx="917575" cy="179705"/>
                      <wp:effectExtent l="0" t="0" r="0" b="0"/>
                      <wp:wrapNone/>
                      <wp:docPr id="3" name="Врезка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757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txbx>
                              <w:txbxContent>
                                <w:p w:rsidR="00270A42" w:rsidRDefault="00270A42">
                                  <w:pPr>
                                    <w:pStyle w:val="aa"/>
                                    <w:rPr>
                                      <w:lang w:val="en-US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Врезка3" o:spid="_x0000_s1027" type="#_x0000_t202" style="position:absolute;margin-left:177.85pt;margin-top:216.55pt;width:72.25pt;height:14.15pt;z-index:4;visibility:visible;mso-wrap-style:square;mso-wrap-distance-left:5.7pt;mso-wrap-distance-top:5.7pt;mso-wrap-distance-right:5.7pt;mso-wrap-distance-bottom:5.7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" o:allowincell="f" stroked="f">
                      <v:textbox inset="0,0,0,0">
                        <w:txbxContent>
                          <w:p w:rsidR="00270A42" w:rsidRDefault="00270A42">
                            <w:pPr>
                              <w:pStyle w:val="aa"/>
                              <w:rPr>
                                <w:lang w:val="en-US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270A42" w:rsidRDefault="00270A42">
      <w:pPr>
        <w:jc w:val="right"/>
      </w:pPr>
    </w:p>
    <w:p w:rsidR="00270A42" w:rsidRDefault="00270A42">
      <w:pPr>
        <w:jc w:val="right"/>
      </w:pPr>
    </w:p>
    <w:p w:rsidR="00270A42" w:rsidRDefault="00270A42">
      <w:pPr>
        <w:jc w:val="right"/>
      </w:pPr>
    </w:p>
    <w:p w:rsidR="00270A42" w:rsidRDefault="00270A42">
      <w:pPr>
        <w:rPr>
          <w:sz w:val="26"/>
          <w:szCs w:val="26"/>
        </w:rPr>
      </w:pPr>
    </w:p>
    <w:p w:rsidR="00270A42" w:rsidRDefault="00DF75D3">
      <w:pPr>
        <w:ind w:firstLine="709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 Е Ш Е Н И Е</w:t>
      </w:r>
    </w:p>
    <w:p w:rsidR="00270A42" w:rsidRDefault="00DF75D3">
      <w:pPr>
        <w:ind w:firstLine="709"/>
        <w:contextualSpacing/>
        <w:jc w:val="center"/>
      </w:pPr>
      <w:r>
        <w:rPr>
          <w:b/>
          <w:sz w:val="26"/>
          <w:szCs w:val="26"/>
        </w:rPr>
        <w:t xml:space="preserve">по делу № 068/06/49-669/2024 о нарушении законодательства </w:t>
      </w:r>
    </w:p>
    <w:p w:rsidR="00270A42" w:rsidRDefault="00DF75D3">
      <w:pPr>
        <w:ind w:firstLine="709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контрактной системе</w:t>
      </w:r>
    </w:p>
    <w:p w:rsidR="00270A42" w:rsidRDefault="00270A42">
      <w:pPr>
        <w:ind w:firstLine="709"/>
        <w:contextualSpacing/>
        <w:jc w:val="center"/>
        <w:rPr>
          <w:b/>
          <w:sz w:val="26"/>
          <w:szCs w:val="26"/>
        </w:rPr>
      </w:pPr>
    </w:p>
    <w:p w:rsidR="00270A42" w:rsidRDefault="00DF75D3">
      <w:pPr>
        <w:ind w:firstLine="709"/>
        <w:contextualSpacing/>
        <w:jc w:val="both"/>
      </w:pPr>
      <w:r>
        <w:rPr>
          <w:sz w:val="26"/>
          <w:szCs w:val="26"/>
        </w:rPr>
        <w:t>Резолютивная часть решения оглашена 30 сентября 2024 года.</w:t>
      </w:r>
    </w:p>
    <w:p w:rsidR="00270A42" w:rsidRDefault="00DF75D3">
      <w:pPr>
        <w:ind w:firstLine="709"/>
        <w:contextualSpacing/>
        <w:jc w:val="both"/>
      </w:pPr>
      <w:r>
        <w:rPr>
          <w:sz w:val="26"/>
          <w:szCs w:val="26"/>
        </w:rPr>
        <w:t xml:space="preserve">В полном </w:t>
      </w:r>
      <w:r>
        <w:rPr>
          <w:sz w:val="26"/>
          <w:szCs w:val="26"/>
        </w:rPr>
        <w:t>объеме решение изготовлено 03 октября 2024 года.</w:t>
      </w:r>
    </w:p>
    <w:p w:rsidR="00270A42" w:rsidRDefault="00DF75D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г. Тамбов</w:t>
      </w:r>
    </w:p>
    <w:p w:rsidR="00270A42" w:rsidRDefault="00270A42">
      <w:pPr>
        <w:ind w:firstLine="709"/>
        <w:contextualSpacing/>
        <w:jc w:val="both"/>
        <w:rPr>
          <w:sz w:val="26"/>
          <w:szCs w:val="26"/>
        </w:rPr>
      </w:pPr>
    </w:p>
    <w:p w:rsidR="00270A42" w:rsidRDefault="00DF75D3">
      <w:pPr>
        <w:ind w:firstLine="709"/>
        <w:contextualSpacing/>
        <w:jc w:val="both"/>
      </w:pPr>
      <w:r>
        <w:rPr>
          <w:sz w:val="26"/>
          <w:szCs w:val="26"/>
          <w:lang w:eastAsia="en-US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</w:t>
      </w:r>
      <w:r>
        <w:rPr>
          <w:sz w:val="26"/>
          <w:szCs w:val="26"/>
        </w:rPr>
        <w:t xml:space="preserve"> в составе:</w:t>
      </w:r>
    </w:p>
    <w:p w:rsidR="00270A42" w:rsidRDefault="00DF75D3">
      <w:pPr>
        <w:tabs>
          <w:tab w:val="left" w:pos="2127"/>
          <w:tab w:val="left" w:pos="9498"/>
        </w:tabs>
        <w:ind w:firstLine="709"/>
        <w:jc w:val="both"/>
      </w:pPr>
      <w:r>
        <w:rPr>
          <w:sz w:val="26"/>
          <w:szCs w:val="26"/>
        </w:rPr>
        <w:t>руководитель комиссии:</w:t>
      </w:r>
      <w:r>
        <w:t xml:space="preserve"> </w:t>
      </w:r>
      <w:r>
        <w:rPr>
          <w:sz w:val="26"/>
          <w:szCs w:val="26"/>
        </w:rPr>
        <w:t xml:space="preserve">руководитель </w:t>
      </w:r>
      <w:r>
        <w:rPr>
          <w:sz w:val="26"/>
          <w:szCs w:val="26"/>
        </w:rPr>
        <w:t>управления Гречишникова Е.А.,</w:t>
      </w:r>
    </w:p>
    <w:p w:rsidR="00270A42" w:rsidRDefault="00DF75D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270A42" w:rsidRDefault="00DF75D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руководителя - начальник отдела контроля закупок и антимонопольного контроля органов власти Иванов В.В.,</w:t>
      </w:r>
    </w:p>
    <w:p w:rsidR="00270A42" w:rsidRDefault="00DF75D3">
      <w:pPr>
        <w:ind w:firstLine="709"/>
        <w:contextualSpacing/>
        <w:jc w:val="both"/>
        <w:sectPr w:rsidR="00270A42">
          <w:footerReference w:type="default" r:id="rId6"/>
          <w:pgSz w:w="11906" w:h="16838"/>
          <w:pgMar w:top="1134" w:right="567" w:bottom="2082" w:left="1134" w:header="0" w:footer="1417" w:gutter="0"/>
          <w:cols w:space="720"/>
          <w:formProt w:val="0"/>
          <w:docGrid w:linePitch="312" w:charSpace="-6145"/>
        </w:sectPr>
      </w:pPr>
      <w:r>
        <w:rPr>
          <w:sz w:val="26"/>
          <w:szCs w:val="26"/>
        </w:rPr>
        <w:t xml:space="preserve">специалист - эксперт отдела контроля закупок и антимонопольного контроля </w:t>
      </w:r>
      <w:r>
        <w:rPr>
          <w:iCs/>
          <w:sz w:val="26"/>
          <w:szCs w:val="26"/>
        </w:rPr>
        <w:t xml:space="preserve">органов </w:t>
      </w:r>
    </w:p>
    <w:p w:rsidR="00270A42" w:rsidRDefault="00DF75D3">
      <w:pPr>
        <w:ind w:firstLine="709"/>
        <w:contextualSpacing/>
        <w:jc w:val="both"/>
      </w:pPr>
      <w:r>
        <w:rPr>
          <w:iCs/>
          <w:sz w:val="26"/>
          <w:szCs w:val="26"/>
        </w:rPr>
        <w:lastRenderedPageBreak/>
        <w:t>власти Телкова К.А.,</w:t>
      </w:r>
    </w:p>
    <w:p w:rsidR="00270A42" w:rsidRDefault="00DF75D3">
      <w:pPr>
        <w:ind w:firstLine="709"/>
        <w:contextualSpacing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в присутствии представителей:</w:t>
      </w:r>
    </w:p>
    <w:p w:rsidR="00270A42" w:rsidRDefault="00DF75D3">
      <w:pPr>
        <w:ind w:firstLine="709"/>
        <w:contextualSpacing/>
        <w:jc w:val="both"/>
      </w:pPr>
      <w:r>
        <w:rPr>
          <w:iCs/>
          <w:sz w:val="26"/>
          <w:szCs w:val="26"/>
        </w:rPr>
        <w:t>государственного бюджетного учреждения здравоохранения «Тамбовская областная к</w:t>
      </w:r>
      <w:r>
        <w:rPr>
          <w:iCs/>
          <w:sz w:val="26"/>
          <w:szCs w:val="26"/>
        </w:rPr>
        <w:t xml:space="preserve">линическая больница имени В.Д. Бабенко» (далее – Заказчик) - </w:t>
      </w:r>
      <w:r w:rsidRPr="00DF75D3">
        <w:rPr>
          <w:iCs/>
          <w:sz w:val="26"/>
          <w:szCs w:val="26"/>
        </w:rPr>
        <w:t>&lt;</w:t>
      </w:r>
      <w:r>
        <w:rPr>
          <w:iCs/>
          <w:sz w:val="26"/>
          <w:szCs w:val="26"/>
        </w:rPr>
        <w:t>…</w:t>
      </w:r>
      <w:r w:rsidRPr="00DF75D3">
        <w:rPr>
          <w:iCs/>
          <w:sz w:val="26"/>
          <w:szCs w:val="26"/>
        </w:rPr>
        <w:t>&gt;</w:t>
      </w:r>
      <w:r>
        <w:rPr>
          <w:iCs/>
          <w:sz w:val="26"/>
          <w:szCs w:val="26"/>
        </w:rPr>
        <w:t>,</w:t>
      </w:r>
    </w:p>
    <w:p w:rsidR="00270A42" w:rsidRDefault="00DF75D3">
      <w:pPr>
        <w:ind w:firstLine="709"/>
        <w:contextualSpacing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общества с ограниченной ответственностью «Артекс» (Заявитель, Общество, ООО «Артекс» - </w:t>
      </w:r>
      <w:r w:rsidRPr="00DF75D3">
        <w:rPr>
          <w:iCs/>
          <w:sz w:val="26"/>
          <w:szCs w:val="26"/>
        </w:rPr>
        <w:t>&lt;</w:t>
      </w:r>
      <w:r>
        <w:rPr>
          <w:iCs/>
          <w:sz w:val="26"/>
          <w:szCs w:val="26"/>
        </w:rPr>
        <w:t>…</w:t>
      </w:r>
      <w:r w:rsidRPr="00DF75D3">
        <w:rPr>
          <w:iCs/>
          <w:sz w:val="26"/>
          <w:szCs w:val="26"/>
        </w:rPr>
        <w:t>&gt;</w:t>
      </w:r>
      <w:r>
        <w:rPr>
          <w:iCs/>
          <w:sz w:val="26"/>
          <w:szCs w:val="26"/>
        </w:rPr>
        <w:t>,</w:t>
      </w:r>
    </w:p>
    <w:p w:rsidR="00270A42" w:rsidRDefault="00DF75D3">
      <w:pPr>
        <w:ind w:firstLine="709"/>
        <w:contextualSpacing/>
        <w:jc w:val="both"/>
      </w:pPr>
      <w:r>
        <w:rPr>
          <w:iCs/>
          <w:sz w:val="26"/>
          <w:szCs w:val="26"/>
        </w:rPr>
        <w:t>министерства имущественных отношений и государственного заказа Тамбовской об</w:t>
      </w:r>
      <w:r>
        <w:rPr>
          <w:iCs/>
          <w:sz w:val="26"/>
          <w:szCs w:val="26"/>
        </w:rPr>
        <w:t xml:space="preserve">ласти  (далее – Уполномоченный орган) — </w:t>
      </w:r>
      <w:r w:rsidRPr="00DF75D3">
        <w:rPr>
          <w:iCs/>
          <w:sz w:val="26"/>
          <w:szCs w:val="26"/>
        </w:rPr>
        <w:t>&lt;</w:t>
      </w:r>
      <w:r>
        <w:rPr>
          <w:iCs/>
          <w:sz w:val="26"/>
          <w:szCs w:val="26"/>
        </w:rPr>
        <w:t>…</w:t>
      </w:r>
      <w:r w:rsidRPr="00DF75D3">
        <w:rPr>
          <w:iCs/>
          <w:sz w:val="26"/>
          <w:szCs w:val="26"/>
        </w:rPr>
        <w:t>&gt;</w:t>
      </w:r>
      <w:r>
        <w:rPr>
          <w:iCs/>
          <w:sz w:val="26"/>
          <w:szCs w:val="26"/>
        </w:rPr>
        <w:t>,</w:t>
      </w:r>
    </w:p>
    <w:p w:rsidR="00270A42" w:rsidRDefault="00DF75D3">
      <w:pPr>
        <w:ind w:firstLine="709"/>
        <w:contextualSpacing/>
        <w:jc w:val="both"/>
      </w:pPr>
      <w:r>
        <w:rPr>
          <w:iCs/>
          <w:sz w:val="26"/>
          <w:szCs w:val="26"/>
        </w:rPr>
        <w:t>рассмотрев посредством видео-конференц-связи жалобу ООО «А</w:t>
      </w:r>
      <w:r>
        <w:rPr>
          <w:iCs/>
          <w:sz w:val="26"/>
          <w:szCs w:val="26"/>
        </w:rPr>
        <w:t>ртекс</w:t>
      </w:r>
      <w:r>
        <w:rPr>
          <w:iCs/>
          <w:sz w:val="26"/>
          <w:szCs w:val="26"/>
        </w:rPr>
        <w:t>» на действия комиссии по осуществлению закупок государственного бюджетного учреждения здравоохранения «Тамбовская областная клиническая</w:t>
      </w:r>
      <w:r>
        <w:rPr>
          <w:iCs/>
          <w:sz w:val="26"/>
          <w:szCs w:val="26"/>
        </w:rPr>
        <w:t xml:space="preserve"> больница имени В.Д. Бабенко» при проведении электронного аукциона №0164200001924002992 на поставку мягкого инвентаря, и проведя в соответствии с п. 1 ч. 15 ст. 99 Федерального закона от 05.04.2013 № 44-ФЗ «О контрактной системе в сфере закупок товаров, ра</w:t>
      </w:r>
      <w:r>
        <w:rPr>
          <w:iCs/>
          <w:sz w:val="26"/>
          <w:szCs w:val="26"/>
        </w:rPr>
        <w:t>бот, услуг для обеспечения государственных и муниципальных нужд» (далее – Закон о контрактной системе) внеплановую проверку</w:t>
      </w:r>
      <w:r>
        <w:rPr>
          <w:sz w:val="26"/>
          <w:szCs w:val="26"/>
          <w:shd w:val="clear" w:color="auto" w:fill="FFFFFF"/>
        </w:rPr>
        <w:t>,</w:t>
      </w:r>
      <w:r>
        <w:rPr>
          <w:b/>
          <w:sz w:val="26"/>
          <w:szCs w:val="26"/>
        </w:rPr>
        <w:t xml:space="preserve"> </w:t>
      </w:r>
    </w:p>
    <w:p w:rsidR="00270A42" w:rsidRDefault="00270A42">
      <w:pPr>
        <w:ind w:firstLine="709"/>
        <w:contextualSpacing/>
        <w:jc w:val="center"/>
        <w:rPr>
          <w:b/>
          <w:sz w:val="26"/>
          <w:szCs w:val="26"/>
        </w:rPr>
      </w:pPr>
    </w:p>
    <w:p w:rsidR="00270A42" w:rsidRDefault="00DF75D3">
      <w:pPr>
        <w:ind w:firstLine="709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УСТАНОВИЛА:</w:t>
      </w:r>
    </w:p>
    <w:p w:rsidR="00270A42" w:rsidRDefault="00270A42">
      <w:pPr>
        <w:ind w:firstLine="709"/>
        <w:jc w:val="both"/>
        <w:rPr>
          <w:b/>
          <w:sz w:val="26"/>
          <w:szCs w:val="26"/>
        </w:rPr>
      </w:pPr>
    </w:p>
    <w:p w:rsidR="00270A42" w:rsidRDefault="00DF75D3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Министерство имущественных отношений и государственного заказа Тамбовской области 09.09.2024 </w:t>
      </w:r>
      <w:r>
        <w:rPr>
          <w:rFonts w:ascii="Times New Roman" w:hAnsi="Times New Roman"/>
          <w:iCs/>
          <w:sz w:val="26"/>
          <w:szCs w:val="26"/>
        </w:rPr>
        <w:t xml:space="preserve">опубликовало на сайте единой информационной системы в сфере </w:t>
      </w:r>
      <w:r>
        <w:rPr>
          <w:rFonts w:ascii="Times New Roman" w:hAnsi="Times New Roman"/>
          <w:sz w:val="26"/>
          <w:szCs w:val="26"/>
        </w:rPr>
        <w:t xml:space="preserve">закупок (далее – ЕИС) извещение о проведении открытого </w:t>
      </w:r>
      <w:r>
        <w:rPr>
          <w:rFonts w:ascii="Times New Roman" w:hAnsi="Times New Roman"/>
          <w:iCs/>
          <w:sz w:val="26"/>
          <w:szCs w:val="26"/>
        </w:rPr>
        <w:t>электронного аукциона №0164200001924002992 на поставку мягкого инвентаря</w:t>
      </w:r>
      <w:r>
        <w:rPr>
          <w:rFonts w:ascii="Times New Roman" w:hAnsi="Times New Roman"/>
          <w:sz w:val="26"/>
          <w:szCs w:val="26"/>
        </w:rPr>
        <w:t xml:space="preserve"> (далее – Аукцион).</w:t>
      </w:r>
    </w:p>
    <w:p w:rsidR="00270A42" w:rsidRDefault="00DF75D3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 – государственное бюджетное учреждение з</w:t>
      </w:r>
      <w:r>
        <w:rPr>
          <w:rFonts w:ascii="Times New Roman" w:hAnsi="Times New Roman"/>
          <w:sz w:val="26"/>
          <w:szCs w:val="26"/>
        </w:rPr>
        <w:t xml:space="preserve">дравоохранения </w:t>
      </w:r>
      <w:r>
        <w:rPr>
          <w:rFonts w:ascii="Times New Roman" w:hAnsi="Times New Roman"/>
          <w:iCs/>
          <w:sz w:val="26"/>
          <w:szCs w:val="26"/>
        </w:rPr>
        <w:t>«Тамбовская областная клиническая больница имени В.Д. Бабенко»</w:t>
      </w:r>
      <w:r>
        <w:rPr>
          <w:rFonts w:ascii="Times New Roman" w:hAnsi="Times New Roman"/>
          <w:sz w:val="26"/>
          <w:szCs w:val="26"/>
        </w:rPr>
        <w:t>.</w:t>
      </w:r>
    </w:p>
    <w:p w:rsidR="00270A42" w:rsidRDefault="00DF75D3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Начальная (максимальная) цена контрак</w:t>
      </w:r>
      <w:r>
        <w:rPr>
          <w:rFonts w:ascii="Times New Roman" w:hAnsi="Times New Roman"/>
          <w:sz w:val="26"/>
          <w:szCs w:val="26"/>
        </w:rPr>
        <w:t>та – 2 508 800,00  ру</w:t>
      </w:r>
      <w:r>
        <w:rPr>
          <w:rFonts w:ascii="Times New Roman" w:hAnsi="Times New Roman"/>
          <w:sz w:val="26"/>
          <w:szCs w:val="26"/>
        </w:rPr>
        <w:t xml:space="preserve">б. </w:t>
      </w:r>
    </w:p>
    <w:p w:rsidR="00270A42" w:rsidRDefault="00DF75D3">
      <w:pPr>
        <w:pStyle w:val="af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Дата и время окончания подачи заявок – 19.09.2024 07:00 часов.</w:t>
      </w:r>
    </w:p>
    <w:p w:rsidR="00270A42" w:rsidRDefault="00DF75D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протоколу подведения итогов определения пос</w:t>
      </w:r>
      <w:r>
        <w:rPr>
          <w:sz w:val="26"/>
          <w:szCs w:val="26"/>
        </w:rPr>
        <w:t xml:space="preserve">тавщика (подрядчика, исполнителя) от 23.09.2024 </w:t>
      </w:r>
      <w:r>
        <w:rPr>
          <w:bCs/>
          <w:sz w:val="26"/>
          <w:szCs w:val="26"/>
          <w:shd w:val="clear" w:color="auto" w:fill="FFFFFF"/>
        </w:rPr>
        <w:t>на участие в Аукционе было подано 19 заявок. К</w:t>
      </w:r>
      <w:r>
        <w:rPr>
          <w:sz w:val="26"/>
          <w:szCs w:val="26"/>
        </w:rPr>
        <w:t>омиссия по осуществлению закупок Заказчика приняла решение о несоответствии требованиям, установленным извещением об осуществлении закупки, всех заявок на участие</w:t>
      </w:r>
      <w:r>
        <w:rPr>
          <w:sz w:val="26"/>
          <w:szCs w:val="26"/>
        </w:rPr>
        <w:t xml:space="preserve"> в ней, на основании п. 4 ч. 1 ст. 52 Закона о контрактной системе, определение поставщика (подрядчика, исполнителя) признано несостоявшимся.</w:t>
      </w:r>
    </w:p>
    <w:p w:rsidR="00270A42" w:rsidRDefault="00DF75D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ООО «Артекс» (идентификационный номер заявки - №1072605) не согласившись с решением комиссии по осуществлению заку</w:t>
      </w:r>
      <w:r>
        <w:rPr>
          <w:sz w:val="26"/>
          <w:szCs w:val="26"/>
        </w:rPr>
        <w:t>пок Заказчика об отклонении его заявки на участие в аукционе, обжаловал его в Тамбовское УФАС России.</w:t>
      </w:r>
    </w:p>
    <w:p w:rsidR="00270A42" w:rsidRDefault="00DF75D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Тамбовского УФАС России рассмотрев представленные материалы, пояснения Заказчика, Уполномоченного органа, а также проведя внеплановую проверку, у</w:t>
      </w:r>
      <w:r>
        <w:rPr>
          <w:sz w:val="26"/>
          <w:szCs w:val="26"/>
        </w:rPr>
        <w:t>становила следующее.</w:t>
      </w:r>
    </w:p>
    <w:p w:rsidR="00270A42" w:rsidRDefault="00DF75D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п. 15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</w:t>
      </w:r>
      <w:r>
        <w:rPr>
          <w:sz w:val="26"/>
          <w:szCs w:val="26"/>
        </w:rPr>
        <w:t>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условиях, о запретах и об ограничениях допуска товаров, происходящих из</w:t>
      </w:r>
      <w:r>
        <w:rPr>
          <w:sz w:val="26"/>
          <w:szCs w:val="26"/>
        </w:rPr>
        <w:t xml:space="preserve"> иностранного государства или группы иностранных государств, работ, </w:t>
      </w:r>
      <w:r>
        <w:rPr>
          <w:sz w:val="26"/>
          <w:szCs w:val="26"/>
        </w:rPr>
        <w:lastRenderedPageBreak/>
        <w:t>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</w:t>
      </w:r>
      <w:r>
        <w:rPr>
          <w:sz w:val="26"/>
          <w:szCs w:val="26"/>
        </w:rPr>
        <w:t>она.</w:t>
      </w:r>
    </w:p>
    <w:p w:rsidR="00270A42" w:rsidRDefault="00DF75D3">
      <w:pPr>
        <w:pStyle w:val="a6"/>
        <w:widowControl/>
        <w:spacing w:after="0"/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Частью 3 статьи 14 Закона о контрактной системе предусмотрено, что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</w:t>
      </w:r>
      <w:r>
        <w:rPr>
          <w:color w:val="000000"/>
          <w:sz w:val="26"/>
          <w:szCs w:val="26"/>
        </w:rPr>
        <w:t>ержки российских товаропроизводителей нормативными правовыми актами Правительства Российской Федерации устанавливается запрет на допуск товаров, происходящих из иностранных государств, работ, услуг, соответственно выполняемых, оказываемых иностранными лица</w:t>
      </w:r>
      <w:r>
        <w:rPr>
          <w:color w:val="000000"/>
          <w:sz w:val="26"/>
          <w:szCs w:val="26"/>
        </w:rPr>
        <w:t>ми, и ограничения допуска указанных товаров, работ, услуг для целей осуществления закупок.</w:t>
      </w:r>
    </w:p>
    <w:p w:rsidR="00270A42" w:rsidRDefault="00DF75D3">
      <w:pPr>
        <w:pStyle w:val="a6"/>
        <w:widowControl/>
        <w:spacing w:after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соответствии с указанной нормой Закона о контрактной системе Правительством Российской Федерации принято Постановление Правительства Российской Федерации от 30.04.</w:t>
      </w:r>
      <w:r>
        <w:rPr>
          <w:color w:val="000000"/>
          <w:sz w:val="26"/>
          <w:szCs w:val="26"/>
        </w:rPr>
        <w:t>2020 №616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</w:t>
      </w:r>
      <w:r>
        <w:rPr>
          <w:color w:val="000000"/>
          <w:sz w:val="26"/>
          <w:szCs w:val="26"/>
        </w:rPr>
        <w:t xml:space="preserve"> (услуг), выполняемых (оказываемых) иностранными лицами, для целей осуществления закупок для нужд обороны страны и безопасности государства" (далее — Постановление Правительства №616).</w:t>
      </w:r>
    </w:p>
    <w:p w:rsidR="00270A42" w:rsidRDefault="00DF75D3">
      <w:pPr>
        <w:pStyle w:val="a6"/>
        <w:widowControl/>
        <w:spacing w:after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Пунктом 1 Постановления Правительства №616 устанавливается запрет на до</w:t>
      </w:r>
      <w:r>
        <w:rPr>
          <w:color w:val="000000"/>
          <w:sz w:val="26"/>
          <w:szCs w:val="26"/>
        </w:rPr>
        <w:t>пуск промышленных товаров, происходящих из иностранных государств (за исключением государств - членов Евразийского экономического союза), для целей осуществления закупок для государственных и муниципальных нужд по перечню промышленных товаров, происходящих</w:t>
      </w:r>
      <w:r>
        <w:rPr>
          <w:color w:val="000000"/>
          <w:sz w:val="26"/>
          <w:szCs w:val="26"/>
        </w:rPr>
        <w:t xml:space="preserve">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предусмотренный Постановлением</w:t>
      </w:r>
      <w:r>
        <w:rPr>
          <w:color w:val="000000"/>
          <w:sz w:val="26"/>
          <w:szCs w:val="26"/>
        </w:rPr>
        <w:t xml:space="preserve"> Правительства №616 (далее — Перечень).</w:t>
      </w:r>
    </w:p>
    <w:p w:rsidR="00270A42" w:rsidRDefault="00DF75D3">
      <w:pPr>
        <w:ind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В силу пункта 10 Постановления Правительства РФ № 616 для подтверждения соответствия закупки промышленных товаров требованиям, установленным настоящим постановлением, участник закупки указывает (декларирует) в состав</w:t>
      </w:r>
      <w:r>
        <w:rPr>
          <w:sz w:val="26"/>
          <w:szCs w:val="26"/>
          <w:lang w:eastAsia="ru-RU"/>
        </w:rPr>
        <w:t>е заявки на участие в закупке, в том числе:</w:t>
      </w:r>
    </w:p>
    <w:p w:rsidR="00270A42" w:rsidRDefault="00DF75D3">
      <w:pPr>
        <w:ind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- в отношении товаров, страной происхождения которых является Российская Федерация, - номера реестровых записей из реестра российской промышленной продукции, а также информацию о совокупном количестве баллов за выполнение технологических операций (условий)</w:t>
      </w:r>
      <w:r>
        <w:rPr>
          <w:sz w:val="26"/>
          <w:szCs w:val="26"/>
          <w:lang w:eastAsia="ru-RU"/>
        </w:rPr>
        <w:t xml:space="preserve"> на территории Российской Федерации, если это предусмотрено постановлением Правительства Российской Федерации от 17 июля 2015 г. № 719 </w:t>
      </w:r>
      <w:r>
        <w:rPr>
          <w:color w:val="000000"/>
          <w:sz w:val="26"/>
          <w:szCs w:val="26"/>
          <w:lang w:eastAsia="ru-RU"/>
        </w:rPr>
        <w:t>«О подтверждении производства промышленной продукции на территории Российской Федерации» (далее – Постановление Правитель</w:t>
      </w:r>
      <w:r>
        <w:rPr>
          <w:color w:val="000000"/>
          <w:sz w:val="26"/>
          <w:szCs w:val="26"/>
          <w:lang w:eastAsia="ru-RU"/>
        </w:rPr>
        <w:t xml:space="preserve">ства № 719) </w:t>
      </w:r>
      <w:r>
        <w:rPr>
          <w:sz w:val="26"/>
          <w:szCs w:val="26"/>
          <w:lang w:eastAsia="ru-RU"/>
        </w:rPr>
        <w:t>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(условий). Информация о реестровых записях о товаре и совокупном коли</w:t>
      </w:r>
      <w:r>
        <w:rPr>
          <w:sz w:val="26"/>
          <w:szCs w:val="26"/>
          <w:lang w:eastAsia="ru-RU"/>
        </w:rPr>
        <w:t>честве баллов включается в контракт.</w:t>
      </w:r>
    </w:p>
    <w:p w:rsidR="00270A42" w:rsidRDefault="00DF75D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ru-RU"/>
        </w:rPr>
        <w:t>В случае представления участником закупки в составе заявки информации из реестра российской промышленной продукции или евразийского реестра промышленных товаров без ук</w:t>
      </w:r>
      <w:r>
        <w:rPr>
          <w:color w:val="000000"/>
          <w:sz w:val="26"/>
          <w:szCs w:val="26"/>
        </w:rPr>
        <w:t>азания совокупного количества баллов, указанного в а</w:t>
      </w:r>
      <w:r>
        <w:rPr>
          <w:color w:val="000000"/>
          <w:sz w:val="26"/>
          <w:szCs w:val="26"/>
        </w:rPr>
        <w:t xml:space="preserve">бзацах втором и третьем настоящего пункта, или с указанием такого совокупного количества баллов, не </w:t>
      </w:r>
      <w:r>
        <w:rPr>
          <w:color w:val="000000"/>
          <w:sz w:val="26"/>
          <w:szCs w:val="26"/>
        </w:rPr>
        <w:lastRenderedPageBreak/>
        <w:t>соответствующего требованиям, установленным для целей осуществления закупок Постановлением Правительства № 719 или решением Совета Евразийской экономической</w:t>
      </w:r>
      <w:r>
        <w:rPr>
          <w:color w:val="000000"/>
          <w:sz w:val="26"/>
          <w:szCs w:val="26"/>
        </w:rPr>
        <w:t xml:space="preserve"> комиссии от 23 ноября 2020 г. № 105 соответственно, такая заявка приравнивается к заявке, в которой содержится предложение о поставке товаров, происходящих из иностранных государств.</w:t>
      </w:r>
    </w:p>
    <w:p w:rsidR="00270A42" w:rsidRDefault="00DF75D3">
      <w:pPr>
        <w:pStyle w:val="a6"/>
        <w:spacing w:after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Министерство промышленности и торговли Российской Федерации в письме от </w:t>
      </w:r>
      <w:r>
        <w:rPr>
          <w:color w:val="000000"/>
          <w:sz w:val="26"/>
          <w:szCs w:val="26"/>
        </w:rPr>
        <w:t>22.02.2024 №КА-17291/07 «О закупках промышленной продукции, произведенной на территории Российской Федерации» указывает, что в соответствии с пунктами 6 и 7 Постановления Правительства № 616 подтверждением производства продукции на территории Российской Фе</w:t>
      </w:r>
      <w:r>
        <w:rPr>
          <w:color w:val="000000"/>
          <w:sz w:val="26"/>
          <w:szCs w:val="26"/>
        </w:rPr>
        <w:t>дерации является наличие сведений о такой продукции в реестре промышленной продукции, произведенной на территории Российской Федерации, включаемой в данный реестр на основании заключения о подтверждении производства промышленной продукции на территории Рос</w:t>
      </w:r>
      <w:r>
        <w:rPr>
          <w:color w:val="000000"/>
          <w:sz w:val="26"/>
          <w:szCs w:val="26"/>
        </w:rPr>
        <w:t>сийской Федерации, выдаваемого Минпромторгом России в соответствии с постановлением Правительства Российской Федерации от 17.07.2015 № 719  и содержащего для продукции, в отношении которой установлены требования о совокупном количестве баллов за выполнение</w:t>
      </w:r>
      <w:r>
        <w:rPr>
          <w:color w:val="000000"/>
          <w:sz w:val="26"/>
          <w:szCs w:val="26"/>
        </w:rPr>
        <w:t xml:space="preserve"> (освоение) на территории Российской Федерации соответствующих операций (условий), информацию о совокупном количестве баллов за выполнение (освоение) на территории Российской Федерации соответствующих операций (условий).</w:t>
      </w:r>
    </w:p>
    <w:p w:rsidR="00270A42" w:rsidRDefault="00DF75D3">
      <w:pPr>
        <w:pStyle w:val="a6"/>
        <w:spacing w:after="0"/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О необходимости руководствоваться в</w:t>
      </w:r>
      <w:r>
        <w:rPr>
          <w:color w:val="000000"/>
          <w:sz w:val="26"/>
          <w:szCs w:val="26"/>
        </w:rPr>
        <w:t>ышеуказанной позицией также высказался ФАС России в своём письме от 17.07.2024 № ПИ/63206/24.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сведениям, размещенным в извещении о проведении электронного аукциона, Заказчиком осуществляется закупка мягкого инвентаря (ОКПД2 13.92.12 «Белье постель</w:t>
      </w:r>
      <w:r>
        <w:rPr>
          <w:color w:val="000000"/>
          <w:sz w:val="26"/>
          <w:szCs w:val="26"/>
        </w:rPr>
        <w:t>ное»).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Товары, отнесенные к коду ОКПД2 13.92.12, являющиеся объектом закупки, включены в пункт 2 перечня, утвержденного Постановлением Правительства РФ № 616.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Проанализировав извещение о проведении электронного аукциона, установлено, что Заказчиком был уст</w:t>
      </w:r>
      <w:r>
        <w:rPr>
          <w:color w:val="000000"/>
          <w:sz w:val="26"/>
          <w:szCs w:val="26"/>
        </w:rPr>
        <w:t>ановлен запрет в соответствии с Постановлением Правительства РФ № 616, что с учетом положений Постановления Правительства РФ № 616, объекта закупки и отнесения его к коду ОКПД2 13.92.12 «Белье постельное», является правомерным.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Пунктом 1 Постановления Прав</w:t>
      </w:r>
      <w:r>
        <w:rPr>
          <w:color w:val="000000"/>
          <w:sz w:val="26"/>
          <w:szCs w:val="26"/>
        </w:rPr>
        <w:t>ительства РФ от 17.07.2015 № 719 «О подтверждении производства промышленной продукции на территории Российской Федерации» (далее - Постановление Правительства РФ № 719) установлены критерии подтверждения производства промышленной продукции на территории Ро</w:t>
      </w:r>
      <w:r>
        <w:rPr>
          <w:color w:val="000000"/>
          <w:sz w:val="26"/>
          <w:szCs w:val="26"/>
        </w:rPr>
        <w:t>ссийской Федерации.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Приложением к Постановлению Правительства РФ № 719 являются требования к промышленной продукции, предъявляемые в целях ее отнесения к продукции, произведенной на территории РФ. </w:t>
      </w:r>
    </w:p>
    <w:p w:rsidR="00270A42" w:rsidRDefault="00DF75D3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Пунктом 53 Примечаний к Постановлению № 719 установлено, </w:t>
      </w:r>
      <w:r>
        <w:rPr>
          <w:color w:val="000000"/>
          <w:sz w:val="26"/>
          <w:szCs w:val="26"/>
        </w:rPr>
        <w:t>что для целей осуществления закупок продукции, включенной в раздел XVII настоящего приложения, для обеспечения государственных и муниципальных нужд в рамках Федерального закона "О контрактной системе в сфере закупок товаров, работ, услуг для обеспечения го</w:t>
      </w:r>
      <w:r>
        <w:rPr>
          <w:color w:val="000000"/>
          <w:sz w:val="26"/>
          <w:szCs w:val="26"/>
        </w:rPr>
        <w:t>сударственных и муниципальных нужд", предусматривающих в качестве требования наличие реестровой записи реестра российской промышленной продукции, размещаемого в государственной информационной системе промышленности в соответствии со статьей 17.1 Федерально</w:t>
      </w:r>
      <w:r>
        <w:rPr>
          <w:color w:val="000000"/>
          <w:sz w:val="26"/>
          <w:szCs w:val="26"/>
        </w:rPr>
        <w:t xml:space="preserve">го закона "О промышленной политике в Российской Федерации", </w:t>
      </w:r>
      <w:r>
        <w:rPr>
          <w:color w:val="000000"/>
          <w:sz w:val="26"/>
          <w:szCs w:val="26"/>
        </w:rPr>
        <w:lastRenderedPageBreak/>
        <w:t>сформированной в соответствии с постановлением Правительства Российской Федерации от 17 июля 2015 г. N 719 "О подтверждении производства российской промышленной продукции", а также для целей отнес</w:t>
      </w:r>
      <w:r>
        <w:rPr>
          <w:color w:val="000000"/>
          <w:sz w:val="26"/>
          <w:szCs w:val="26"/>
        </w:rPr>
        <w:t>ения указанной промышленной продукции к продукции, произведенной на территории Российской Федерации, при ее производстве должны выполняться требования и технологические операции, предусмотренные разделом XVII настоящего приложения, обеспечивающие достижени</w:t>
      </w:r>
      <w:r>
        <w:rPr>
          <w:color w:val="000000"/>
          <w:sz w:val="26"/>
          <w:szCs w:val="26"/>
        </w:rPr>
        <w:t xml:space="preserve">е следующего минимально возможного количества баллов,  в части товарных позиций с кодом ОКПД2 13.92.12 «Белье постельное» - не менее 60 баллов. 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</w:t>
      </w:r>
      <w:r>
        <w:rPr>
          <w:color w:val="000000"/>
          <w:sz w:val="26"/>
          <w:szCs w:val="26"/>
        </w:rPr>
        <w:t>унктом 5 части 1 статьи 43 Закона о контрактной системе установлено, что заявка на участие в закупке, если ино</w:t>
      </w:r>
      <w:r>
        <w:rPr>
          <w:color w:val="000000"/>
          <w:sz w:val="26"/>
          <w:szCs w:val="26"/>
        </w:rPr>
        <w:t>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</w:t>
      </w:r>
      <w:r>
        <w:rPr>
          <w:color w:val="000000"/>
          <w:sz w:val="26"/>
          <w:szCs w:val="26"/>
        </w:rPr>
        <w:t>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</w:t>
      </w:r>
      <w:r>
        <w:rPr>
          <w:color w:val="000000"/>
          <w:sz w:val="26"/>
          <w:szCs w:val="26"/>
        </w:rPr>
        <w:t>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</w:t>
      </w:r>
      <w:r>
        <w:rPr>
          <w:color w:val="000000"/>
          <w:sz w:val="26"/>
          <w:szCs w:val="26"/>
        </w:rPr>
        <w:t>ми лицами.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пункту "а"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</w:t>
      </w:r>
      <w:r>
        <w:rPr>
          <w:color w:val="000000"/>
          <w:sz w:val="26"/>
          <w:szCs w:val="26"/>
        </w:rPr>
        <w:t xml:space="preserve">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color w:val="000000"/>
          <w:sz w:val="26"/>
          <w:szCs w:val="26"/>
        </w:rPr>
        <w:t>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</w:t>
      </w:r>
      <w:r>
        <w:rPr>
          <w:color w:val="000000"/>
          <w:sz w:val="26"/>
          <w:szCs w:val="26"/>
        </w:rPr>
        <w:t>щего Федерального закона.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силу пункта 5 части 12 статьи 48 Закона о контрактной системе при рассмотрении вторых частей заявок на участие в закупке соответствующая заявка подлежит отклонению, в том числе в случае непредставления информации и документов, п</w:t>
      </w:r>
      <w:r>
        <w:rPr>
          <w:color w:val="000000"/>
          <w:sz w:val="26"/>
          <w:szCs w:val="26"/>
        </w:rPr>
        <w:t xml:space="preserve">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</w:t>
      </w:r>
      <w:r>
        <w:rPr>
          <w:color w:val="000000"/>
          <w:sz w:val="26"/>
          <w:szCs w:val="26"/>
        </w:rPr>
        <w:t>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государств).</w:t>
      </w:r>
    </w:p>
    <w:p w:rsidR="00270A42" w:rsidRDefault="00DF75D3">
      <w:pPr>
        <w:pStyle w:val="a6"/>
        <w:widowControl/>
        <w:spacing w:after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Протокол подведения итогов определения поставщика (подрядчика, исполните</w:t>
      </w:r>
      <w:r>
        <w:rPr>
          <w:color w:val="000000"/>
          <w:sz w:val="26"/>
          <w:szCs w:val="26"/>
        </w:rPr>
        <w:t>ля) от 23.09.2024 содержит информацию об отклонении заявки Заявителя по следующим основаниям:</w:t>
      </w:r>
    </w:p>
    <w:p w:rsidR="00270A42" w:rsidRDefault="00DF75D3">
      <w:pPr>
        <w:pStyle w:val="a6"/>
        <w:widowControl/>
        <w:spacing w:after="0"/>
        <w:ind w:firstLine="709"/>
        <w:jc w:val="both"/>
        <w:rPr>
          <w:i/>
          <w:iCs/>
          <w:color w:val="000000"/>
          <w:sz w:val="26"/>
          <w:szCs w:val="26"/>
        </w:rPr>
      </w:pPr>
      <w:r>
        <w:rPr>
          <w:i/>
          <w:iCs/>
          <w:color w:val="000000"/>
          <w:sz w:val="26"/>
          <w:szCs w:val="26"/>
        </w:rPr>
        <w:t>«...Заявка участника содержит копии выписок из реестра российской промышленной продукции, в которых совокупное количество баллов  отсутствует, в связи с чем такая</w:t>
      </w:r>
      <w:r>
        <w:rPr>
          <w:i/>
          <w:iCs/>
          <w:color w:val="000000"/>
          <w:sz w:val="26"/>
          <w:szCs w:val="26"/>
        </w:rPr>
        <w:t xml:space="preserve">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 .</w:t>
      </w:r>
    </w:p>
    <w:p w:rsidR="00270A42" w:rsidRDefault="00DF75D3">
      <w:pPr>
        <w:pStyle w:val="a6"/>
        <w:widowControl/>
        <w:spacing w:after="0"/>
        <w:ind w:firstLine="709"/>
        <w:jc w:val="both"/>
        <w:rPr>
          <w:i/>
          <w:iCs/>
          <w:color w:val="000000"/>
          <w:sz w:val="26"/>
          <w:szCs w:val="26"/>
        </w:rPr>
      </w:pPr>
      <w:r>
        <w:rPr>
          <w:i/>
          <w:iCs/>
          <w:color w:val="000000"/>
          <w:sz w:val="26"/>
          <w:szCs w:val="26"/>
        </w:rPr>
        <w:lastRenderedPageBreak/>
        <w:t xml:space="preserve">Заявка участника отклоняется как  содержащая предложение о поставке товара, происходящего из </w:t>
      </w:r>
      <w:r>
        <w:rPr>
          <w:i/>
          <w:iCs/>
          <w:color w:val="000000"/>
          <w:sz w:val="26"/>
          <w:szCs w:val="26"/>
        </w:rPr>
        <w:t>иностранных  государств или группы иностранных государств».</w:t>
      </w:r>
    </w:p>
    <w:p w:rsidR="00270A42" w:rsidRDefault="00DF75D3">
      <w:pPr>
        <w:pStyle w:val="a6"/>
        <w:widowControl/>
        <w:spacing w:after="0"/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Проанализировав заявки участников закупки, Комиссия Тамбовского УФАС России установила, что Заявителем были приложены выписки из реестра российской промышленной продукции, в которых</w:t>
      </w:r>
      <w:r>
        <w:rPr>
          <w:color w:val="000000"/>
          <w:sz w:val="26"/>
          <w:szCs w:val="26"/>
        </w:rPr>
        <w:t xml:space="preserve"> отсутствует указание о количестве баллов, таким образом, заявка Общества не соответствовала требованиям Постановления Правительства №616, в связи с чем, комиссия по осуществлению закупок правомерно отклонила заявку Заявителя. </w:t>
      </w:r>
    </w:p>
    <w:p w:rsidR="00270A42" w:rsidRDefault="00DF75D3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На основании вышеизложенного</w:t>
      </w:r>
      <w:r>
        <w:rPr>
          <w:color w:val="000000"/>
          <w:sz w:val="26"/>
          <w:szCs w:val="26"/>
          <w:shd w:val="clear" w:color="auto" w:fill="FFFFFF"/>
        </w:rPr>
        <w:t>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</w:p>
    <w:p w:rsidR="00270A42" w:rsidRDefault="00270A42">
      <w:pPr>
        <w:ind w:firstLine="709"/>
        <w:jc w:val="both"/>
        <w:rPr>
          <w:color w:val="000000"/>
          <w:sz w:val="26"/>
          <w:szCs w:val="26"/>
          <w:shd w:val="clear" w:color="auto" w:fill="FFFFFF"/>
        </w:rPr>
      </w:pPr>
    </w:p>
    <w:p w:rsidR="00270A42" w:rsidRDefault="00DF75D3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РЕШИЛА: </w:t>
      </w:r>
    </w:p>
    <w:p w:rsidR="00270A42" w:rsidRDefault="00270A42">
      <w:pPr>
        <w:spacing w:after="200"/>
        <w:ind w:firstLine="709"/>
        <w:contextualSpacing/>
        <w:jc w:val="center"/>
        <w:rPr>
          <w:sz w:val="26"/>
          <w:szCs w:val="26"/>
        </w:rPr>
      </w:pPr>
    </w:p>
    <w:p w:rsidR="00270A42" w:rsidRDefault="00DF75D3">
      <w:pPr>
        <w:ind w:firstLine="709"/>
        <w:jc w:val="both"/>
      </w:pPr>
      <w:r>
        <w:rPr>
          <w:sz w:val="26"/>
          <w:szCs w:val="26"/>
        </w:rPr>
        <w:t>Признать жалобу ООО «Арте</w:t>
      </w:r>
      <w:r>
        <w:rPr>
          <w:sz w:val="26"/>
          <w:szCs w:val="26"/>
        </w:rPr>
        <w:t>кс» необоснованной.</w:t>
      </w:r>
    </w:p>
    <w:p w:rsidR="00270A42" w:rsidRDefault="00270A42">
      <w:pPr>
        <w:ind w:firstLine="709"/>
        <w:jc w:val="both"/>
        <w:rPr>
          <w:sz w:val="26"/>
          <w:szCs w:val="26"/>
        </w:rPr>
      </w:pPr>
    </w:p>
    <w:p w:rsidR="00270A42" w:rsidRDefault="00270A42">
      <w:pPr>
        <w:ind w:firstLine="709"/>
        <w:jc w:val="both"/>
        <w:rPr>
          <w:sz w:val="26"/>
          <w:szCs w:val="26"/>
        </w:rPr>
      </w:pPr>
    </w:p>
    <w:p w:rsidR="00270A42" w:rsidRDefault="00DF75D3">
      <w:pPr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Настоящее решение в течение трех месяцев со дня его принятия может быть обжаловано в арбитражный суд. </w:t>
      </w:r>
    </w:p>
    <w:p w:rsidR="00270A42" w:rsidRDefault="00270A42">
      <w:pPr>
        <w:ind w:firstLine="709"/>
        <w:jc w:val="both"/>
        <w:rPr>
          <w:sz w:val="26"/>
          <w:szCs w:val="26"/>
        </w:rPr>
      </w:pPr>
    </w:p>
    <w:p w:rsidR="00270A42" w:rsidRDefault="00270A42">
      <w:pPr>
        <w:ind w:firstLine="709"/>
        <w:jc w:val="both"/>
        <w:rPr>
          <w:sz w:val="26"/>
          <w:szCs w:val="26"/>
        </w:rPr>
      </w:pPr>
    </w:p>
    <w:p w:rsidR="00270A42" w:rsidRDefault="00270A42">
      <w:pPr>
        <w:ind w:firstLine="709"/>
        <w:jc w:val="both"/>
        <w:rPr>
          <w:sz w:val="26"/>
          <w:szCs w:val="26"/>
        </w:rPr>
      </w:pPr>
    </w:p>
    <w:tbl>
      <w:tblPr>
        <w:tblW w:w="102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007"/>
        <w:gridCol w:w="4208"/>
      </w:tblGrid>
      <w:tr w:rsidR="00270A42">
        <w:tc>
          <w:tcPr>
            <w:tcW w:w="6007" w:type="dxa"/>
          </w:tcPr>
          <w:p w:rsidR="00270A42" w:rsidRDefault="00DF75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Руководитель Комиссии </w:t>
            </w:r>
          </w:p>
          <w:p w:rsidR="00270A42" w:rsidRDefault="00270A42">
            <w:pPr>
              <w:rPr>
                <w:sz w:val="26"/>
                <w:szCs w:val="26"/>
              </w:rPr>
            </w:pPr>
          </w:p>
          <w:p w:rsidR="00270A42" w:rsidRDefault="00DF75D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4208" w:type="dxa"/>
            <w:vAlign w:val="bottom"/>
          </w:tcPr>
          <w:p w:rsidR="00270A42" w:rsidRDefault="00DF75D3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/>
            </w:r>
            <w:r>
              <w:rPr>
                <w:sz w:val="26"/>
                <w:szCs w:val="26"/>
              </w:rPr>
              <w:instrText xml:space="preserve"> DOCVARIABLE PredsedatelIOF </w:instrText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sz w:val="26"/>
                <w:szCs w:val="26"/>
              </w:rPr>
              <w:t>Е.А. Гречишникова</w:t>
            </w:r>
            <w:r>
              <w:rPr>
                <w:sz w:val="26"/>
                <w:szCs w:val="26"/>
              </w:rPr>
              <w:fldChar w:fldCharType="end"/>
            </w:r>
          </w:p>
          <w:p w:rsidR="00270A42" w:rsidRDefault="00270A42">
            <w:pPr>
              <w:jc w:val="right"/>
              <w:rPr>
                <w:sz w:val="26"/>
                <w:szCs w:val="26"/>
              </w:rPr>
            </w:pPr>
          </w:p>
          <w:p w:rsidR="00270A42" w:rsidRDefault="00DF75D3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Иванов</w:t>
            </w:r>
          </w:p>
          <w:p w:rsidR="00270A42" w:rsidRDefault="00270A42">
            <w:pPr>
              <w:jc w:val="right"/>
              <w:rPr>
                <w:sz w:val="26"/>
                <w:szCs w:val="26"/>
              </w:rPr>
            </w:pPr>
          </w:p>
          <w:p w:rsidR="00270A42" w:rsidRDefault="00DF75D3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К.А. Телкова </w:t>
            </w:r>
          </w:p>
        </w:tc>
      </w:tr>
    </w:tbl>
    <w:p w:rsidR="00270A42" w:rsidRDefault="00270A42">
      <w:pPr>
        <w:jc w:val="both"/>
        <w:rPr>
          <w:sz w:val="26"/>
          <w:szCs w:val="26"/>
        </w:rPr>
      </w:pPr>
    </w:p>
    <w:p w:rsidR="00270A42" w:rsidRDefault="00270A42">
      <w:pPr>
        <w:jc w:val="both"/>
      </w:pPr>
    </w:p>
    <w:p w:rsidR="00270A42" w:rsidRDefault="00270A42">
      <w:pPr>
        <w:jc w:val="both"/>
      </w:pPr>
    </w:p>
    <w:p w:rsidR="00270A42" w:rsidRDefault="00270A42"/>
    <w:p w:rsidR="00270A42" w:rsidRDefault="00270A42"/>
    <w:p w:rsidR="00270A42" w:rsidRDefault="00270A42"/>
    <w:p w:rsidR="00270A42" w:rsidRDefault="00270A42"/>
    <w:p w:rsidR="00270A42" w:rsidRDefault="00270A42"/>
    <w:p w:rsidR="00270A42" w:rsidRDefault="00270A42"/>
    <w:p w:rsidR="00270A42" w:rsidRDefault="00270A42"/>
    <w:p w:rsidR="00270A42" w:rsidRDefault="00270A42"/>
    <w:p w:rsidR="00270A42" w:rsidRDefault="00270A42"/>
    <w:p w:rsidR="00270A42" w:rsidRDefault="00270A42"/>
    <w:p w:rsidR="00270A42" w:rsidRDefault="00270A42"/>
    <w:p w:rsidR="00270A42" w:rsidRDefault="00270A42">
      <w:pPr>
        <w:rPr>
          <w:sz w:val="22"/>
          <w:szCs w:val="22"/>
        </w:rPr>
      </w:pPr>
      <w:bookmarkStart w:id="0" w:name="_GoBack"/>
      <w:bookmarkEnd w:id="0"/>
    </w:p>
    <w:sectPr w:rsidR="00270A42">
      <w:headerReference w:type="default" r:id="rId7"/>
      <w:footerReference w:type="default" r:id="rId8"/>
      <w:footerReference w:type="first" r:id="rId9"/>
      <w:pgSz w:w="11906" w:h="16838"/>
      <w:pgMar w:top="1693" w:right="567" w:bottom="1243" w:left="1134" w:header="1134" w:footer="85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F75D3">
      <w:r>
        <w:separator/>
      </w:r>
    </w:p>
  </w:endnote>
  <w:endnote w:type="continuationSeparator" w:id="0">
    <w:p w:rsidR="00000000" w:rsidRDefault="00DF7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A42" w:rsidRDefault="00270A42">
    <w:pPr>
      <w:pStyle w:val="ac"/>
      <w:jc w:val="right"/>
    </w:pPr>
  </w:p>
  <w:p w:rsidR="00270A42" w:rsidRDefault="00DF75D3">
    <w:pPr>
      <w:pStyle w:val="ac"/>
      <w:jc w:val="right"/>
    </w:pPr>
    <w:r>
      <w:rPr>
        <w:noProof/>
        <w:lang w:eastAsia="ru-RU" w:bidi="ar-SA"/>
      </w:rPr>
      <mc:AlternateContent>
        <mc:Choice Requires="wps">
          <w:drawing>
            <wp:anchor distT="0" distB="0" distL="0" distR="0" simplePos="0" relativeHeight="11" behindDoc="0" locked="0" layoutInCell="0" allowOverlap="1">
              <wp:simplePos x="0" y="0"/>
              <wp:positionH relativeFrom="column">
                <wp:posOffset>0</wp:posOffset>
              </wp:positionH>
              <wp:positionV relativeFrom="paragraph">
                <wp:posOffset>198120</wp:posOffset>
              </wp:positionV>
              <wp:extent cx="1511935" cy="215900"/>
              <wp:effectExtent l="0" t="0" r="0" b="0"/>
              <wp:wrapSquare wrapText="bothSides"/>
              <wp:docPr id="5" name="ProjectNumb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3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270A42" w:rsidRDefault="00270A42">
                          <w:pPr>
                            <w:pStyle w:val="aa"/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rojectNumber" o:spid="_x0000_s1028" type="#_x0000_t202" style="position:absolute;left:0;text-align:left;margin-left:0;margin-top:15.6pt;width:119.05pt;height:17pt;z-index:1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" o:allowincell="f" stroked="f">
              <v:textbox inset="0,0,0,0">
                <w:txbxContent>
                  <w:p w:rsidR="00270A42" w:rsidRDefault="00270A42">
                    <w:pPr>
                      <w:pStyle w:val="aa"/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A42" w:rsidRDefault="00270A42">
    <w:pPr>
      <w:pStyle w:val="ac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A42" w:rsidRDefault="00270A4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F75D3">
      <w:r>
        <w:separator/>
      </w:r>
    </w:p>
  </w:footnote>
  <w:footnote w:type="continuationSeparator" w:id="0">
    <w:p w:rsidR="00000000" w:rsidRDefault="00DF7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A42" w:rsidRDefault="00DF75D3">
    <w:pPr>
      <w:pStyle w:val="ae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Annotation" w:val="Решение"/>
    <w:docVar w:name="BDCTemplate" w:val="Shablon"/>
    <w:docVar w:name="BossProviderVariable" w:val="f3622f0a-133a-461b-90ba-f23aa62d5ea9"/>
    <w:docVar w:name="Ispolnitel" w:val="Телкова К.А."/>
    <w:docVar w:name="IspolnitelPhone" w:val="8 (4752) 71-36-00, вн. 068-119"/>
    <w:docVar w:name="KorrespondentOutgoing" w:val="Государственное бюджетное учреждение здравоохранения «Тамбовская областная клиническая больница имени В.Д. Бабенко»_x000a_392000, Тамбовская Область, г. Тамбов, ул. Московская, д.29_x000a_post@tob.tambov.gov.ru_x000a__x000a_Министерство  имущественных  отношений и государственного заказа   Тамбовской области_x000a_392000, г. Тамбов, ул. Московская, 65_x000a_post@uprim.tambov.gov.ru; post@buy.tambov.gov.ru_x000a__x000a_АО «Единая электронная  торговая площадка»_x000a_115114, Москва,_x000a_ул. Кожевническая 14, стр. 5_x000a__x000a_ko@roseltorg.ru_x000a__x000a_ООО &quot;АРТЕКС&quot;_x000a_153013 Ивановская область, г. Иваново, ул. Павла Большевикова д.50А_x000a_artex37@mail.ru"/>
    <w:docVar w:name="PredsedatelDolj" w:val="Руководитель управления"/>
    <w:docVar w:name="PredsedatelIOF" w:val="Е.А. Гречишникова"/>
    <w:docVar w:name="ProjectNumber" w:val="2024-4249"/>
  </w:docVars>
  <w:rsids>
    <w:rsidRoot w:val="00270A42"/>
    <w:rsid w:val="00270A42"/>
    <w:rsid w:val="00DF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AE237E5-0B46-48CC-BA4D-1990A5FF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customStyle="1" w:styleId="a4">
    <w:name w:val="Без интервала Знак"/>
    <w:qFormat/>
    <w:rPr>
      <w:rFonts w:ascii="Calibri" w:hAnsi="Calibri"/>
      <w:lang w:val="ru-RU" w:eastAsia="ru-RU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Содержимое врезки"/>
    <w:basedOn w:val="a6"/>
    <w:qFormat/>
  </w:style>
  <w:style w:type="paragraph" w:customStyle="1" w:styleId="ab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c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styleId="ae">
    <w:name w:val="header"/>
    <w:basedOn w:val="ab"/>
    <w:pPr>
      <w:tabs>
        <w:tab w:val="clear" w:pos="4819"/>
        <w:tab w:val="clear" w:pos="9638"/>
        <w:tab w:val="center" w:pos="5102"/>
        <w:tab w:val="right" w:pos="10205"/>
      </w:tabs>
    </w:pPr>
  </w:style>
  <w:style w:type="paragraph" w:customStyle="1" w:styleId="1">
    <w:name w:val="Обычная таблица1"/>
    <w:qFormat/>
    <w:pPr>
      <w:spacing w:after="160" w:line="25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af">
    <w:name w:val="No Spacing"/>
    <w:qFormat/>
    <w:rPr>
      <w:rFonts w:ascii="Calibri" w:eastAsia="Times New Roman" w:hAnsi="Calibri" w:cs="Times New Roman"/>
      <w:sz w:val="22"/>
      <w:szCs w:val="22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6</Pages>
  <Words>2302</Words>
  <Characters>13127</Characters>
  <Application>Microsoft Office Word</Application>
  <DocSecurity>0</DocSecurity>
  <Lines>109</Lines>
  <Paragraphs>30</Paragraphs>
  <ScaleCrop>false</ScaleCrop>
  <Company>КонсультантПлюс Версия 4024.00.32</Company>
  <LinksUpToDate>false</LinksUpToDate>
  <CharactersWithSpaces>15399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Карельского УФАС России от 11.09.2024 по делу N 010/06/106-505/2024Обстоятельства: По мнению Заявителя, в нарушение положений п. 2 постановления Правительства РФ от 30.04.2020 N 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комиссия Заказчика на основании п. 5 ч. 12 ст. 48 Закона о контрактной системе отклонила обе заявки участников закупки, в том числе </dc:title>
  <dc:subject/>
  <dc:creator/>
  <dc:description/>
  <cp:lastModifiedBy>Телкова Кристина Александровна</cp:lastModifiedBy>
  <cp:revision>42</cp:revision>
  <cp:lastPrinted>2024-10-03T11:48:00Z</cp:lastPrinted>
  <dcterms:created xsi:type="dcterms:W3CDTF">2024-10-03T11:37:00Z</dcterms:created>
  <dcterms:modified xsi:type="dcterms:W3CDTF">2024-10-03T12:23:00Z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ContentHash">
    <vt:lpwstr>PUponRZ7IDbRY8C3tR1RJQ==</vt:lpwstr>
  </property>
  <property fmtid="{D5CDD505-2E9C-101B-9397-08002B2CF9AE}" pid="3" name="PreviousContentHash">
    <vt:lpwstr>RnT+8VjKW/o7J3uw0HuHDQ==</vt:lpwstr>
  </property>
  <property fmtid="{D5CDD505-2E9C-101B-9397-08002B2CF9AE}" pid="4" name="Поле 1">
    <vt:lpwstr/>
  </property>
  <property fmtid="{D5CDD505-2E9C-101B-9397-08002B2CF9AE}" pid="5" name="Поле 2">
    <vt:lpwstr/>
  </property>
  <property fmtid="{D5CDD505-2E9C-101B-9397-08002B2CF9AE}" pid="6" name="Поле 3">
    <vt:lpwstr/>
  </property>
  <property fmtid="{D5CDD505-2E9C-101B-9397-08002B2CF9AE}" pid="7" name="Поле 4">
    <vt:lpwstr/>
  </property>
</Properties>
</file>