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ook w:val="01E0" w:firstRow="1" w:lastRow="1" w:firstColumn="1" w:lastColumn="1" w:noHBand="0" w:noVBand="0"/>
      </w:tblPr>
      <w:tblGrid>
        <w:gridCol w:w="3969"/>
        <w:gridCol w:w="5670"/>
      </w:tblGrid>
      <w:tr w:rsidR="00ED7F34" w:rsidRPr="00ED7F34" w:rsidTr="00A007D3">
        <w:tc>
          <w:tcPr>
            <w:tcW w:w="3969" w:type="dxa"/>
          </w:tcPr>
          <w:p w:rsidR="00ED7F34" w:rsidRPr="00ED7F34" w:rsidRDefault="00ED7F34" w:rsidP="00ED7F3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СПб ГБУЗ «Городская поликлиника № 107»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ул. Коммуны, 36, лит. 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Санкт-Петербург, 195030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ЭТП «Фабрикант»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Причальный проезд, дом 2А, 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Москва, 123290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тел.: +7 (495) 138-96-78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  <w:lang w:eastAsia="en-US"/>
              </w:rPr>
              <w:t xml:space="preserve">ИП </w:t>
            </w:r>
            <w:proofErr w:type="spellStart"/>
            <w:r>
              <w:rPr>
                <w:iCs/>
                <w:sz w:val="28"/>
                <w:szCs w:val="28"/>
                <w:lang w:eastAsia="en-US"/>
              </w:rPr>
              <w:t>Лукьянце</w:t>
            </w:r>
            <w:r w:rsidRPr="00ED7F34">
              <w:rPr>
                <w:iCs/>
                <w:sz w:val="28"/>
                <w:szCs w:val="28"/>
                <w:lang w:eastAsia="en-US"/>
              </w:rPr>
              <w:t>ва</w:t>
            </w:r>
            <w:proofErr w:type="spellEnd"/>
            <w:r w:rsidRPr="00ED7F34">
              <w:rPr>
                <w:iCs/>
                <w:sz w:val="28"/>
                <w:szCs w:val="28"/>
                <w:lang w:eastAsia="en-US"/>
              </w:rPr>
              <w:t xml:space="preserve"> О.А.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ул. Центральная, д. 14, </w:t>
            </w:r>
            <w:r>
              <w:rPr>
                <w:iCs/>
                <w:sz w:val="28"/>
                <w:szCs w:val="28"/>
                <w:lang w:eastAsia="en-US"/>
              </w:rPr>
              <w:br/>
            </w:r>
            <w:r w:rsidRPr="00ED7F34">
              <w:rPr>
                <w:iCs/>
                <w:sz w:val="28"/>
                <w:szCs w:val="28"/>
                <w:lang w:eastAsia="en-US"/>
              </w:rPr>
              <w:t>дер. Малиновка,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Тюменская обл., 625503</w:t>
            </w:r>
          </w:p>
        </w:tc>
      </w:tr>
      <w:tr w:rsidR="00ED7F34" w:rsidRPr="00ED7F34" w:rsidTr="00A007D3">
        <w:trPr>
          <w:gridAfter w:val="1"/>
          <w:wAfter w:w="5670" w:type="dxa"/>
        </w:trPr>
        <w:tc>
          <w:tcPr>
            <w:tcW w:w="3969" w:type="dxa"/>
          </w:tcPr>
          <w:p w:rsidR="00ED7F34" w:rsidRPr="00ED7F34" w:rsidRDefault="00ED7F34" w:rsidP="00ED7F34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РЕШЕНИЕ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  <w:r w:rsidRPr="00ED7F34">
        <w:rPr>
          <w:sz w:val="28"/>
          <w:szCs w:val="28"/>
        </w:rPr>
        <w:t xml:space="preserve">по делу </w:t>
      </w:r>
      <w:r w:rsidRPr="00ED7F34">
        <w:rPr>
          <w:b/>
          <w:sz w:val="28"/>
          <w:szCs w:val="28"/>
        </w:rPr>
        <w:t xml:space="preserve">№ </w:t>
      </w:r>
      <w:bookmarkStart w:id="0" w:name="_Hlk23889619"/>
      <w:r w:rsidRPr="00ED7F34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-37/24</w:t>
      </w:r>
      <w:r w:rsidRPr="00ED7F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ED7F34">
        <w:rPr>
          <w:sz w:val="28"/>
          <w:szCs w:val="28"/>
        </w:rPr>
        <w:t>о нарушении законодательства о контрактной системе</w:t>
      </w:r>
    </w:p>
    <w:p w:rsidR="00ED7F34" w:rsidRPr="00ED7F34" w:rsidRDefault="00ED7F34" w:rsidP="00ED7F34">
      <w:pPr>
        <w:ind w:firstLine="540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>11.0</w:t>
      </w:r>
      <w:r>
        <w:rPr>
          <w:sz w:val="28"/>
          <w:szCs w:val="28"/>
        </w:rPr>
        <w:t>1</w:t>
      </w:r>
      <w:r w:rsidRPr="00ED7F34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ED7F34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участии представителей</w:t>
      </w:r>
      <w:r>
        <w:rPr>
          <w:sz w:val="28"/>
          <w:szCs w:val="28"/>
        </w:rPr>
        <w:t>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 (далее – Заказчик):</w:t>
      </w:r>
    </w:p>
    <w:p w:rsidR="00ED7F34" w:rsidRPr="00ED7F34" w:rsidRDefault="00ED7F34" w:rsidP="00ED7F34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вой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 (далее – Заявитель)</w:t>
      </w:r>
      <w:r>
        <w:rPr>
          <w:iCs/>
          <w:sz w:val="28"/>
          <w:szCs w:val="28"/>
          <w:lang w:eastAsia="en-US"/>
        </w:rPr>
        <w:t>:</w:t>
      </w:r>
    </w:p>
    <w:p w:rsidR="00ED7F34" w:rsidRPr="00ED7F34" w:rsidRDefault="00ED7F34" w:rsidP="00ED7F34">
      <w:pPr>
        <w:ind w:firstLine="709"/>
        <w:jc w:val="both"/>
        <w:rPr>
          <w:bCs/>
          <w:sz w:val="28"/>
          <w:szCs w:val="28"/>
        </w:rPr>
      </w:pPr>
      <w:r w:rsidRPr="00ED7F34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ED7F34">
        <w:rPr>
          <w:sz w:val="28"/>
          <w:szCs w:val="28"/>
        </w:rPr>
        <w:t>вх</w:t>
      </w:r>
      <w:proofErr w:type="spellEnd"/>
      <w:r w:rsidRPr="00ED7F34">
        <w:rPr>
          <w:sz w:val="28"/>
          <w:szCs w:val="28"/>
        </w:rPr>
        <w:t xml:space="preserve">. № 34801-ЭП/23 от 28.12.2023) на действия Заказчика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при определении (подрядчика, исполнителя) путем проведения электронного аукциона на поставку реагентов для лабораторных исследований методом высокоэффективной жидкостной хроматографии для межрайонной централизованной клинико-диагностической лаборатории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Санкт-Петербургского государственного бюджетного учреждения здравоохранения «Городская поликлиника № 107» для нужд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Санкт-Петербурга в 2024 году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</w:t>
      </w:r>
      <w:r w:rsidRPr="00ED7F34">
        <w:rPr>
          <w:sz w:val="28"/>
          <w:szCs w:val="28"/>
        </w:rPr>
        <w:lastRenderedPageBreak/>
        <w:t xml:space="preserve">товаров, работ, услуг для обеспечения государственных и муниципальных нужд» (далее – Закон о контрактной системе),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УСТАНОВИЛА:</w:t>
      </w:r>
    </w:p>
    <w:p w:rsidR="00ED7F34" w:rsidRPr="00ED7F34" w:rsidRDefault="00ED7F34" w:rsidP="00ED7F34">
      <w:pPr>
        <w:jc w:val="center"/>
        <w:outlineLvl w:val="0"/>
        <w:rPr>
          <w:sz w:val="28"/>
          <w:szCs w:val="28"/>
        </w:rPr>
      </w:pP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Извещение о проведении аукциона размещено 26.12.2023 в единой информационной системе, номер извещения 0372200085223000392. Начальная (максимальная) цена контракта – 4 592 301,</w:t>
      </w:r>
      <w:r>
        <w:rPr>
          <w:sz w:val="28"/>
          <w:szCs w:val="28"/>
        </w:rPr>
        <w:t xml:space="preserve"> </w:t>
      </w:r>
      <w:r w:rsidRPr="00ED7F34">
        <w:rPr>
          <w:sz w:val="28"/>
          <w:szCs w:val="28"/>
        </w:rPr>
        <w:t>98 рублей.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жалобе </w:t>
      </w:r>
      <w:r>
        <w:rPr>
          <w:sz w:val="28"/>
          <w:szCs w:val="28"/>
        </w:rPr>
        <w:t xml:space="preserve">ИП </w:t>
      </w:r>
      <w:proofErr w:type="spellStart"/>
      <w:r>
        <w:rPr>
          <w:sz w:val="28"/>
          <w:szCs w:val="28"/>
        </w:rPr>
        <w:t>Лукьянцева</w:t>
      </w:r>
      <w:proofErr w:type="spellEnd"/>
      <w:r>
        <w:rPr>
          <w:sz w:val="28"/>
          <w:szCs w:val="28"/>
        </w:rPr>
        <w:t xml:space="preserve"> О.А.</w:t>
      </w:r>
      <w:r w:rsidRPr="00ED7F34">
        <w:rPr>
          <w:sz w:val="28"/>
          <w:szCs w:val="28"/>
        </w:rPr>
        <w:t xml:space="preserve"> указывает на неправомерные действия Заказчика, выразившиеся</w:t>
      </w:r>
      <w:r>
        <w:rPr>
          <w:sz w:val="28"/>
          <w:szCs w:val="28"/>
        </w:rPr>
        <w:t>, по мнению З</w:t>
      </w:r>
      <w:r w:rsidRPr="00ED7F34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в нарушении порядка описания объекта закупки в части указания при описании объекта закупки на товарный знак без сопровождения словами «или эквивалент», а также на указание на конкретный артикул закупаемого товара, что существенным образом ограничивает количество участников закупки.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В силу п. 1 ч. 2 ст. 42 Закона о контрактной системе, извещение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</w:t>
      </w:r>
      <w:r>
        <w:rPr>
          <w:sz w:val="28"/>
          <w:szCs w:val="28"/>
        </w:rPr>
        <w:t xml:space="preserve">асно п. 1, </w:t>
      </w:r>
      <w:r w:rsidRPr="00ED7F34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а) сопрово</w:t>
      </w:r>
      <w:r>
        <w:rPr>
          <w:sz w:val="28"/>
          <w:szCs w:val="28"/>
        </w:rPr>
        <w:t>ждение такого указания словами «</w:t>
      </w:r>
      <w:r w:rsidRPr="00ED7F34">
        <w:rPr>
          <w:sz w:val="28"/>
          <w:szCs w:val="28"/>
        </w:rPr>
        <w:t>или эквивалент</w:t>
      </w:r>
      <w:r>
        <w:rPr>
          <w:sz w:val="28"/>
          <w:szCs w:val="28"/>
        </w:rPr>
        <w:t>»</w:t>
      </w:r>
      <w:r w:rsidRPr="00ED7F34">
        <w:rPr>
          <w:sz w:val="28"/>
          <w:szCs w:val="28"/>
        </w:rPr>
        <w:t>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по смыслу ст. 33</w:t>
      </w:r>
      <w:r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при формировании Технического зад</w:t>
      </w:r>
      <w:r>
        <w:rPr>
          <w:sz w:val="28"/>
          <w:szCs w:val="28"/>
        </w:rPr>
        <w:t xml:space="preserve">ания Заказчику в рамках Закона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ED7F34">
        <w:rPr>
          <w:sz w:val="28"/>
          <w:szCs w:val="28"/>
        </w:rPr>
        <w:t>параметров</w:t>
      </w:r>
      <w:proofErr w:type="gramEnd"/>
      <w:r w:rsidRPr="00ED7F34">
        <w:rPr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</w:t>
      </w:r>
      <w:r w:rsidRPr="00ED7F34">
        <w:rPr>
          <w:sz w:val="28"/>
          <w:szCs w:val="28"/>
        </w:rPr>
        <w:lastRenderedPageBreak/>
        <w:t>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соответствии с ч. 2 ст. 19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Кроме того, в силу ч. 3 ст. 33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Комиссия УФАС констатирует, что описание объекта закупки содержится в составе извещения о проведении закупки.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 частности</w:t>
      </w:r>
      <w:r>
        <w:rPr>
          <w:sz w:val="28"/>
          <w:szCs w:val="28"/>
        </w:rPr>
        <w:t>, З</w:t>
      </w:r>
      <w:r w:rsidRPr="00ED7F34">
        <w:rPr>
          <w:sz w:val="28"/>
          <w:szCs w:val="28"/>
        </w:rPr>
        <w:t>аказчиком были установлены следующие требования к закупаемому товару: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tbl>
      <w:tblPr>
        <w:tblpPr w:leftFromText="180" w:rightFromText="180" w:bottomFromText="160" w:vertAnchor="text" w:tblpX="-39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78"/>
        <w:gridCol w:w="1847"/>
        <w:gridCol w:w="2183"/>
        <w:gridCol w:w="2637"/>
      </w:tblGrid>
      <w:tr w:rsidR="00ED7F34" w:rsidRPr="00ED7F34" w:rsidTr="00A007D3">
        <w:trPr>
          <w:trHeight w:val="85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Наименование товара</w:t>
            </w:r>
          </w:p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bCs/>
                <w:sz w:val="28"/>
                <w:szCs w:val="28"/>
              </w:rPr>
              <w:t>(товарный знак (при наличии)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Количество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Обоснование закупки товара с указанием на товарный знак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4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 xml:space="preserve">Набор реагентов для определения </w:t>
            </w:r>
            <w:proofErr w:type="spellStart"/>
            <w:r w:rsidRPr="00ED7F34">
              <w:rPr>
                <w:sz w:val="28"/>
                <w:szCs w:val="28"/>
              </w:rPr>
              <w:t>гликозилированного</w:t>
            </w:r>
            <w:proofErr w:type="spellEnd"/>
            <w:r w:rsidRPr="00ED7F34">
              <w:rPr>
                <w:sz w:val="28"/>
                <w:szCs w:val="28"/>
              </w:rPr>
              <w:t xml:space="preserve"> гемоглобина </w:t>
            </w:r>
            <w:r w:rsidRPr="00ED7F34">
              <w:rPr>
                <w:sz w:val="28"/>
                <w:szCs w:val="28"/>
                <w:lang w:val="en-US"/>
              </w:rPr>
              <w:t>A</w:t>
            </w:r>
            <w:r w:rsidRPr="00ED7F34">
              <w:rPr>
                <w:sz w:val="28"/>
                <w:szCs w:val="28"/>
              </w:rPr>
              <w:t>1</w:t>
            </w:r>
            <w:r w:rsidRPr="00ED7F34">
              <w:rPr>
                <w:sz w:val="28"/>
                <w:szCs w:val="28"/>
                <w:lang w:val="en-US"/>
              </w:rPr>
              <w:t>c</w:t>
            </w:r>
            <w:r w:rsidRPr="00ED7F34">
              <w:rPr>
                <w:sz w:val="28"/>
                <w:szCs w:val="28"/>
              </w:rPr>
              <w:t xml:space="preserve"> (</w:t>
            </w:r>
            <w:proofErr w:type="spellStart"/>
            <w:r w:rsidRPr="00ED7F34">
              <w:rPr>
                <w:iCs/>
                <w:sz w:val="28"/>
                <w:szCs w:val="28"/>
              </w:rPr>
              <w:t>Variant</w:t>
            </w:r>
            <w:proofErr w:type="spellEnd"/>
            <w:r w:rsidRPr="00ED7F34">
              <w:rPr>
                <w:iCs/>
                <w:sz w:val="28"/>
                <w:szCs w:val="28"/>
              </w:rPr>
              <w:t xml:space="preserve"> II </w:t>
            </w:r>
            <w:proofErr w:type="spellStart"/>
            <w:proofErr w:type="gramStart"/>
            <w:r w:rsidRPr="00ED7F34">
              <w:rPr>
                <w:iCs/>
                <w:sz w:val="28"/>
                <w:szCs w:val="28"/>
              </w:rPr>
              <w:t>Turbo</w:t>
            </w:r>
            <w:proofErr w:type="spellEnd"/>
            <w:r w:rsidRPr="00ED7F34">
              <w:rPr>
                <w:iCs/>
                <w:sz w:val="28"/>
                <w:szCs w:val="28"/>
              </w:rPr>
              <w:t xml:space="preserve"> )</w:t>
            </w:r>
            <w:proofErr w:type="gramEnd"/>
            <w:r w:rsidRPr="00ED7F34">
              <w:rPr>
                <w:iCs/>
                <w:sz w:val="28"/>
                <w:szCs w:val="28"/>
              </w:rPr>
              <w:t xml:space="preserve">, артикул </w:t>
            </w:r>
            <w:r w:rsidRPr="00ED7F34">
              <w:rPr>
                <w:sz w:val="28"/>
                <w:szCs w:val="28"/>
              </w:rPr>
              <w:t>2702455</w:t>
            </w:r>
            <w:r w:rsidRPr="00ED7F34">
              <w:rPr>
                <w:sz w:val="28"/>
                <w:szCs w:val="28"/>
                <w:lang w:val="en-US"/>
              </w:rPr>
              <w:t>EX</w:t>
            </w:r>
            <w:r w:rsidRPr="00ED7F34">
              <w:rPr>
                <w:sz w:val="28"/>
                <w:szCs w:val="28"/>
              </w:rPr>
              <w:t xml:space="preserve">. Производитель </w:t>
            </w:r>
            <w:r w:rsidRPr="00ED7F34">
              <w:rPr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ED7F34">
              <w:rPr>
                <w:iCs/>
                <w:sz w:val="28"/>
                <w:szCs w:val="28"/>
              </w:rPr>
              <w:t>Bio-</w:t>
            </w:r>
            <w:r w:rsidRPr="00ED7F34">
              <w:rPr>
                <w:iCs/>
                <w:sz w:val="28"/>
                <w:szCs w:val="28"/>
              </w:rPr>
              <w:lastRenderedPageBreak/>
              <w:t>RadLaboratories</w:t>
            </w:r>
            <w:proofErr w:type="spellEnd"/>
            <w:r w:rsidRPr="00ED7F34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ED7F34">
              <w:rPr>
                <w:iCs/>
                <w:sz w:val="28"/>
                <w:szCs w:val="28"/>
              </w:rPr>
              <w:t>Inc</w:t>
            </w:r>
            <w:proofErr w:type="spellEnd"/>
            <w:r w:rsidRPr="00ED7F34">
              <w:rPr>
                <w:iCs/>
                <w:sz w:val="28"/>
                <w:szCs w:val="28"/>
              </w:rPr>
              <w:t>.», США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lastRenderedPageBreak/>
              <w:t>набор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7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В соответствии с технической документацией на прибор для определения 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гликозилированного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 гемоглобина «Вариант II Турбо», </w:t>
            </w:r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lastRenderedPageBreak/>
              <w:t>производства «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Bio-RadLaboratories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, 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Inc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.», США, имеющегося у заказчика (в соответствии </w:t>
            </w:r>
            <w:proofErr w:type="gram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с  пунктом</w:t>
            </w:r>
            <w:proofErr w:type="gram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 1 части 1 статьи 33 ФЗ№44-ФЗ). Система является «закрытой» Набор должен соответствовать описанию, изложенному в инструкции по использованию анализатора для определения содержания 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гликозилированного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 гемоглобина 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Variant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 xml:space="preserve"> II </w:t>
            </w:r>
            <w:proofErr w:type="spellStart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Turbo</w:t>
            </w:r>
            <w:proofErr w:type="spellEnd"/>
            <w:r w:rsidRPr="00ED7F34">
              <w:rPr>
                <w:bCs/>
                <w:i/>
                <w:iCs/>
                <w:sz w:val="28"/>
                <w:szCs w:val="28"/>
                <w:lang w:bidi="ru-RU"/>
              </w:rPr>
              <w:t>,</w:t>
            </w:r>
            <w:r w:rsidRPr="00ED7F34">
              <w:rPr>
                <w:bCs/>
                <w:i/>
                <w:sz w:val="28"/>
                <w:szCs w:val="28"/>
              </w:rPr>
              <w:t xml:space="preserve"> </w:t>
            </w:r>
            <w:r w:rsidRPr="00ED7F34">
              <w:rPr>
                <w:i/>
                <w:iCs/>
                <w:sz w:val="28"/>
                <w:szCs w:val="28"/>
              </w:rPr>
              <w:t>в связи с чем поставка эквивалентного товара недопустима.</w:t>
            </w:r>
          </w:p>
        </w:tc>
      </w:tr>
    </w:tbl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Из вышеизложенного следует, что Заказчику требуется Набор реагентов для определения </w:t>
      </w:r>
      <w:proofErr w:type="spellStart"/>
      <w:r w:rsidRPr="00ED7F34">
        <w:rPr>
          <w:sz w:val="28"/>
          <w:szCs w:val="28"/>
        </w:rPr>
        <w:t>гликозилированного</w:t>
      </w:r>
      <w:proofErr w:type="spellEnd"/>
      <w:r w:rsidRPr="00ED7F34">
        <w:rPr>
          <w:sz w:val="28"/>
          <w:szCs w:val="28"/>
        </w:rPr>
        <w:t xml:space="preserve"> гемоглобина </w:t>
      </w:r>
      <w:r w:rsidRPr="00ED7F34">
        <w:rPr>
          <w:sz w:val="28"/>
          <w:szCs w:val="28"/>
          <w:lang w:val="en-US"/>
        </w:rPr>
        <w:t>A</w:t>
      </w:r>
      <w:r w:rsidRPr="00ED7F34">
        <w:rPr>
          <w:sz w:val="28"/>
          <w:szCs w:val="28"/>
        </w:rPr>
        <w:t>1</w:t>
      </w:r>
      <w:r w:rsidRPr="00ED7F34">
        <w:rPr>
          <w:sz w:val="28"/>
          <w:szCs w:val="28"/>
          <w:lang w:val="en-US"/>
        </w:rPr>
        <w:t>c</w:t>
      </w:r>
      <w:r w:rsidRPr="00ED7F34">
        <w:rPr>
          <w:sz w:val="28"/>
          <w:szCs w:val="28"/>
        </w:rPr>
        <w:t xml:space="preserve"> (</w:t>
      </w:r>
      <w:proofErr w:type="spellStart"/>
      <w:r w:rsidRPr="00ED7F34">
        <w:rPr>
          <w:sz w:val="28"/>
          <w:szCs w:val="28"/>
        </w:rPr>
        <w:t>Variant</w:t>
      </w:r>
      <w:proofErr w:type="spellEnd"/>
      <w:r w:rsidRPr="00ED7F34">
        <w:rPr>
          <w:sz w:val="28"/>
          <w:szCs w:val="28"/>
        </w:rPr>
        <w:t xml:space="preserve"> II </w:t>
      </w:r>
      <w:proofErr w:type="spellStart"/>
      <w:proofErr w:type="gramStart"/>
      <w:r w:rsidRPr="00ED7F34">
        <w:rPr>
          <w:sz w:val="28"/>
          <w:szCs w:val="28"/>
        </w:rPr>
        <w:t>Turbo</w:t>
      </w:r>
      <w:proofErr w:type="spellEnd"/>
      <w:r w:rsidRPr="00ED7F34">
        <w:rPr>
          <w:sz w:val="28"/>
          <w:szCs w:val="28"/>
        </w:rPr>
        <w:t xml:space="preserve"> )</w:t>
      </w:r>
      <w:proofErr w:type="gramEnd"/>
      <w:r w:rsidRPr="00ED7F34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 xml:space="preserve">, что соответствует РУ № ФСЗ 2011/09246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от 01.08.2016 (Инструкция по применению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этом, Заказчиком не представлено обоснования необходимости поставки набора 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Вместе с тем, в соответствии с паспортом безопасности комплекта, размещенном на официальном сайте производителя, набор реагентов: VARIANT II TURBO HbA1c </w:t>
      </w:r>
      <w:proofErr w:type="spellStart"/>
      <w:r w:rsidRPr="00ED7F34">
        <w:rPr>
          <w:sz w:val="28"/>
          <w:szCs w:val="28"/>
        </w:rPr>
        <w:t>Kit</w:t>
      </w:r>
      <w:proofErr w:type="spellEnd"/>
      <w:r w:rsidRPr="00ED7F34">
        <w:rPr>
          <w:sz w:val="28"/>
          <w:szCs w:val="28"/>
        </w:rPr>
        <w:t xml:space="preserve"> - 2.0 имеет каталожные номера (артикулы): 12000447, 2702455, 2702455EX.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 изложенного выше следует, что треб</w:t>
      </w:r>
      <w:r>
        <w:rPr>
          <w:sz w:val="28"/>
          <w:szCs w:val="28"/>
        </w:rPr>
        <w:t>уемый Заказчику набор реагентов</w:t>
      </w:r>
      <w:r w:rsidRPr="00ED7F34">
        <w:rPr>
          <w:sz w:val="28"/>
          <w:szCs w:val="28"/>
        </w:rPr>
        <w:t xml:space="preserve"> может иметь различные каталожные номера, но идентичное содержание.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lastRenderedPageBreak/>
        <w:t>Более того, набор реагентов с каталожн</w:t>
      </w:r>
      <w:r>
        <w:rPr>
          <w:sz w:val="28"/>
          <w:szCs w:val="28"/>
        </w:rPr>
        <w:t>ым номером (артикулом) 12000447</w:t>
      </w:r>
      <w:r w:rsidRPr="00ED7F34">
        <w:rPr>
          <w:sz w:val="28"/>
          <w:szCs w:val="28"/>
        </w:rPr>
        <w:t xml:space="preserve"> соответствует РУ № РЗН 2023/21544 от 16.11.2023 (Инструкция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 применению 12000447).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 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 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предположениями, в то же время такое обоснование должно содержаться в документации о закупке. 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контрактной системе.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На заседании Комиссии УФАС Заказчик не представи</w:t>
      </w:r>
      <w:r>
        <w:rPr>
          <w:sz w:val="28"/>
          <w:szCs w:val="28"/>
        </w:rPr>
        <w:t xml:space="preserve">л достаточных </w:t>
      </w:r>
      <w:r w:rsidR="00AF16CD">
        <w:rPr>
          <w:sz w:val="28"/>
          <w:szCs w:val="28"/>
        </w:rPr>
        <w:br/>
      </w:r>
      <w:r>
        <w:rPr>
          <w:sz w:val="28"/>
          <w:szCs w:val="28"/>
        </w:rPr>
        <w:t xml:space="preserve">и неопровержимых </w:t>
      </w:r>
      <w:r w:rsidRPr="00ED7F34">
        <w:rPr>
          <w:sz w:val="28"/>
          <w:szCs w:val="28"/>
        </w:rPr>
        <w:t>доказательств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свидетельствующих о том, что </w:t>
      </w:r>
      <w:r>
        <w:rPr>
          <w:sz w:val="28"/>
          <w:szCs w:val="28"/>
        </w:rPr>
        <w:t xml:space="preserve">товары, </w:t>
      </w:r>
      <w:r w:rsidR="00AF16CD">
        <w:rPr>
          <w:sz w:val="28"/>
          <w:szCs w:val="28"/>
        </w:rPr>
        <w:t>сопровождаемые товарным знаком, указанным</w:t>
      </w:r>
      <w:r>
        <w:rPr>
          <w:sz w:val="28"/>
          <w:szCs w:val="28"/>
        </w:rPr>
        <w:t xml:space="preserve"> З</w:t>
      </w:r>
      <w:r w:rsidRPr="00ED7F34">
        <w:rPr>
          <w:sz w:val="28"/>
          <w:szCs w:val="28"/>
        </w:rPr>
        <w:t>аказчиком при описании</w:t>
      </w:r>
      <w:r w:rsidR="00AF16CD">
        <w:rPr>
          <w:sz w:val="28"/>
          <w:szCs w:val="28"/>
        </w:rPr>
        <w:t xml:space="preserve"> объекта закупки</w:t>
      </w:r>
      <w:r>
        <w:rPr>
          <w:sz w:val="28"/>
          <w:szCs w:val="28"/>
        </w:rPr>
        <w:t>,</w:t>
      </w:r>
      <w:r w:rsidR="00AF16CD">
        <w:rPr>
          <w:sz w:val="28"/>
          <w:szCs w:val="28"/>
        </w:rPr>
        <w:t xml:space="preserve"> но обозначенные артикулами, отличными</w:t>
      </w:r>
      <w:r w:rsidRPr="00ED7F34">
        <w:rPr>
          <w:sz w:val="28"/>
          <w:szCs w:val="28"/>
        </w:rPr>
        <w:t xml:space="preserve"> от</w:t>
      </w:r>
      <w:r w:rsidR="00AF16CD">
        <w:rPr>
          <w:sz w:val="28"/>
          <w:szCs w:val="28"/>
        </w:rPr>
        <w:t xml:space="preserve"> артикула,</w:t>
      </w:r>
      <w:r w:rsidRPr="00ED7F34">
        <w:rPr>
          <w:sz w:val="28"/>
          <w:szCs w:val="28"/>
        </w:rPr>
        <w:t xml:space="preserve"> указанного в извещении</w:t>
      </w:r>
      <w:r w:rsidR="00AF16CD"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</w:t>
      </w:r>
      <w:r w:rsidR="00AF16CD">
        <w:rPr>
          <w:sz w:val="28"/>
          <w:szCs w:val="28"/>
        </w:rPr>
        <w:t xml:space="preserve">при этом, имеющие характеристики, соответствующие требованиям Заказчика, не совместимы с </w:t>
      </w:r>
      <w:r w:rsidRPr="00ED7F34">
        <w:rPr>
          <w:sz w:val="28"/>
          <w:szCs w:val="28"/>
        </w:rPr>
        <w:t>им</w:t>
      </w:r>
      <w:r>
        <w:rPr>
          <w:sz w:val="28"/>
          <w:szCs w:val="28"/>
        </w:rPr>
        <w:t xml:space="preserve">еющимся </w:t>
      </w:r>
      <w:r w:rsidR="00AA22C6">
        <w:rPr>
          <w:sz w:val="28"/>
          <w:szCs w:val="28"/>
        </w:rPr>
        <w:br/>
      </w:r>
      <w:r>
        <w:rPr>
          <w:sz w:val="28"/>
          <w:szCs w:val="28"/>
        </w:rPr>
        <w:t>у З</w:t>
      </w:r>
      <w:r w:rsidRPr="00ED7F34">
        <w:rPr>
          <w:sz w:val="28"/>
          <w:szCs w:val="28"/>
        </w:rPr>
        <w:t>аказчика оборудованием</w:t>
      </w:r>
      <w:r>
        <w:rPr>
          <w:sz w:val="28"/>
          <w:szCs w:val="28"/>
        </w:rPr>
        <w:t>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Комиссия УФАС приходит к выводу о том, что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установив вышеуказанные требования, Заказчик, утвердивший описание объекта закупки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допустил нарушения ч. 2 ст. 42 (п. 1 ч. 1 ст. 33) Закона о контрактной системе.</w:t>
      </w:r>
    </w:p>
    <w:p w:rsidR="00AF16CD" w:rsidRPr="00AF16CD" w:rsidRDefault="00ED7F34" w:rsidP="00AF16CD">
      <w:pPr>
        <w:ind w:firstLine="708"/>
        <w:jc w:val="both"/>
        <w:rPr>
          <w:sz w:val="28"/>
          <w:szCs w:val="28"/>
        </w:rPr>
      </w:pPr>
      <w:r w:rsidRPr="00AF16CD">
        <w:rPr>
          <w:sz w:val="28"/>
          <w:szCs w:val="28"/>
        </w:rPr>
        <w:lastRenderedPageBreak/>
        <w:t xml:space="preserve">2. </w:t>
      </w:r>
      <w:r w:rsidR="00AF16CD" w:rsidRPr="00AF16CD">
        <w:rPr>
          <w:sz w:val="28"/>
          <w:szCs w:val="28"/>
        </w:rPr>
        <w:t xml:space="preserve">Выявленные в действиях Заказчика нарушения законодательства </w:t>
      </w:r>
      <w:r w:rsidR="00AF16CD" w:rsidRPr="00AF16CD">
        <w:rPr>
          <w:sz w:val="28"/>
          <w:szCs w:val="28"/>
        </w:rPr>
        <w:br/>
        <w:t xml:space="preserve">о контрактной системе являются существенными, что дало основания </w:t>
      </w:r>
      <w:r w:rsidR="00AF16CD" w:rsidRPr="00AF16CD">
        <w:rPr>
          <w:sz w:val="28"/>
          <w:szCs w:val="28"/>
        </w:rPr>
        <w:br/>
        <w:t>для выдачи обязательного для исполнения предписания об их устранении.</w:t>
      </w:r>
    </w:p>
    <w:p w:rsidR="00AF16CD" w:rsidRPr="002D30DD" w:rsidRDefault="00AF16CD" w:rsidP="00AF16CD">
      <w:pPr>
        <w:pStyle w:val="a7"/>
        <w:ind w:left="106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8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 xml:space="preserve">РЕШИЛА: </w:t>
      </w:r>
    </w:p>
    <w:p w:rsidR="00ED7F34" w:rsidRPr="00ED7F34" w:rsidRDefault="00ED7F34" w:rsidP="00ED7F34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 xml:space="preserve">Признать жалобу </w:t>
      </w:r>
      <w:r w:rsidR="00AF16CD">
        <w:rPr>
          <w:sz w:val="28"/>
          <w:szCs w:val="28"/>
        </w:rPr>
        <w:t xml:space="preserve">ИП </w:t>
      </w:r>
      <w:proofErr w:type="spellStart"/>
      <w:r w:rsidR="00AF16CD">
        <w:rPr>
          <w:sz w:val="28"/>
          <w:szCs w:val="28"/>
        </w:rPr>
        <w:t>Лукьянцевой</w:t>
      </w:r>
      <w:proofErr w:type="spellEnd"/>
      <w:r w:rsidRPr="00ED7F34">
        <w:rPr>
          <w:sz w:val="28"/>
          <w:szCs w:val="28"/>
        </w:rPr>
        <w:t xml:space="preserve"> О.А. обоснованной.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2.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Признать</w:t>
      </w:r>
      <w:r w:rsidR="00AF16CD">
        <w:rPr>
          <w:sz w:val="28"/>
          <w:szCs w:val="28"/>
        </w:rPr>
        <w:t xml:space="preserve"> в действиях Заказчика нарушения</w:t>
      </w:r>
      <w:r w:rsidRPr="00ED7F34">
        <w:rPr>
          <w:sz w:val="28"/>
          <w:szCs w:val="28"/>
        </w:rPr>
        <w:t xml:space="preserve"> п. 1 ч. 1 ст. 33, </w:t>
      </w:r>
      <w:r w:rsidR="00AF16CD">
        <w:rPr>
          <w:sz w:val="28"/>
          <w:szCs w:val="28"/>
        </w:rPr>
        <w:br/>
      </w:r>
      <w:r w:rsidRPr="00ED7F34">
        <w:rPr>
          <w:sz w:val="28"/>
          <w:szCs w:val="28"/>
        </w:rPr>
        <w:t>п. 1 ч. 2 ст. 42 Закона о контрактной системе.</w:t>
      </w:r>
      <w:bookmarkStart w:id="1" w:name="_GoBack"/>
      <w:bookmarkEnd w:id="1"/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3.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Выдать Заказчику, его комиссии по осуществлению закупок и оператору электронной площадки обязательное для исполнения предп</w:t>
      </w:r>
      <w:r w:rsidR="00AF16CD">
        <w:rPr>
          <w:sz w:val="28"/>
          <w:szCs w:val="28"/>
        </w:rPr>
        <w:t>исание об устранении выявленных нарушений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4.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ED7F34" w:rsidRPr="00F01409" w:rsidRDefault="00ED7F34" w:rsidP="00ED7F34">
      <w:pPr>
        <w:tabs>
          <w:tab w:val="left" w:pos="1134"/>
        </w:tabs>
        <w:ind w:right="-5" w:firstLine="720"/>
        <w:jc w:val="both"/>
        <w:rPr>
          <w:sz w:val="27"/>
          <w:szCs w:val="27"/>
        </w:rPr>
      </w:pPr>
      <w:r w:rsidRPr="00F01409">
        <w:rPr>
          <w:sz w:val="27"/>
          <w:szCs w:val="27"/>
        </w:rPr>
        <w:t>.</w:t>
      </w: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sz w:val="27"/>
          <w:szCs w:val="27"/>
        </w:rPr>
      </w:pP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sz w:val="27"/>
          <w:szCs w:val="27"/>
        </w:rPr>
      </w:pP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  <w:r w:rsidRPr="00F01409">
        <w:rPr>
          <w:i/>
          <w:sz w:val="27"/>
          <w:szCs w:val="27"/>
        </w:rPr>
        <w:t xml:space="preserve">Настоящее решение может быть обжаловано в судебном порядке </w:t>
      </w:r>
      <w:r>
        <w:rPr>
          <w:i/>
          <w:sz w:val="27"/>
          <w:szCs w:val="27"/>
        </w:rPr>
        <w:br/>
      </w:r>
      <w:r w:rsidRPr="00F01409">
        <w:rPr>
          <w:i/>
          <w:sz w:val="27"/>
          <w:szCs w:val="27"/>
        </w:rPr>
        <w:t>в течение трёх месяцев со дня принятия.</w:t>
      </w:r>
    </w:p>
    <w:p w:rsidR="00145D15" w:rsidRDefault="00145D15"/>
    <w:sectPr w:rsidR="00145D15" w:rsidSect="00ED7F34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ADB" w:rsidRDefault="009A1ADB" w:rsidP="00ED7F34">
      <w:r>
        <w:separator/>
      </w:r>
    </w:p>
  </w:endnote>
  <w:endnote w:type="continuationSeparator" w:id="0">
    <w:p w:rsidR="009A1ADB" w:rsidRDefault="009A1ADB" w:rsidP="00ED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ADB" w:rsidRDefault="009A1ADB" w:rsidP="00ED7F34">
      <w:r>
        <w:separator/>
      </w:r>
    </w:p>
  </w:footnote>
  <w:footnote w:type="continuationSeparator" w:id="0">
    <w:p w:rsidR="009A1ADB" w:rsidRDefault="009A1ADB" w:rsidP="00ED7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441399"/>
      <w:docPartObj>
        <w:docPartGallery w:val="Page Numbers (Top of Page)"/>
        <w:docPartUnique/>
      </w:docPartObj>
    </w:sdtPr>
    <w:sdtContent>
      <w:p w:rsidR="00ED7F34" w:rsidRDefault="00ED7F3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2C6">
          <w:rPr>
            <w:noProof/>
          </w:rPr>
          <w:t>7</w:t>
        </w:r>
        <w:r>
          <w:fldChar w:fldCharType="end"/>
        </w:r>
      </w:p>
    </w:sdtContent>
  </w:sdt>
  <w:p w:rsidR="00ED7F34" w:rsidRDefault="00ED7F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C04D0"/>
    <w:multiLevelType w:val="hybridMultilevel"/>
    <w:tmpl w:val="17C6467A"/>
    <w:lvl w:ilvl="0" w:tplc="C680D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8A"/>
    <w:rsid w:val="00145D15"/>
    <w:rsid w:val="009A1ADB"/>
    <w:rsid w:val="00A2438A"/>
    <w:rsid w:val="00AA22C6"/>
    <w:rsid w:val="00AF16CD"/>
    <w:rsid w:val="00E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00A98-73E4-4874-A10B-7A8CDB672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F1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2024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2024-01-16T16:57:00Z</dcterms:created>
  <dcterms:modified xsi:type="dcterms:W3CDTF">2024-01-16T17:18:00Z</dcterms:modified>
</cp:coreProperties>
</file>