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6F73" w:rsidRDefault="00796F73" w:rsidP="00796F73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</w:p>
    <w:p w:rsidR="008529F4" w:rsidRPr="008525DD" w:rsidRDefault="008529F4" w:rsidP="00796F73">
      <w:pPr>
        <w:pStyle w:val="Standard"/>
        <w:ind w:left="5726"/>
        <w:rPr>
          <w:rFonts w:ascii="Times New Roman" w:hAnsi="Times New Roman" w:cs="Times New Roman"/>
          <w:iCs/>
          <w:sz w:val="28"/>
          <w:szCs w:val="28"/>
        </w:rPr>
      </w:pP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 xml:space="preserve">СПб ГБУЗ «Городская больница № 40 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Курортного района»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ул. Борисова, 9/лит. Б,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г. Сестрорецк, Санкт-Петербург, 197706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эл. почта: gz@gb40.ru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АО «РАД»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8525DD">
        <w:rPr>
          <w:rFonts w:ascii="Times New Roman" w:hAnsi="Times New Roman" w:cs="Times New Roman"/>
          <w:iCs/>
          <w:sz w:val="28"/>
          <w:szCs w:val="28"/>
        </w:rPr>
        <w:t>Гривцова</w:t>
      </w:r>
      <w:proofErr w:type="spellEnd"/>
      <w:r w:rsidRPr="008525DD">
        <w:rPr>
          <w:rFonts w:ascii="Times New Roman" w:hAnsi="Times New Roman" w:cs="Times New Roman"/>
          <w:iCs/>
          <w:sz w:val="28"/>
          <w:szCs w:val="28"/>
        </w:rPr>
        <w:t xml:space="preserve"> пер., д. 5, лит. В,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Санкт-Петербург, 190000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факс: (812) 777-57-57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ООО «</w:t>
      </w:r>
      <w:proofErr w:type="spellStart"/>
      <w:r w:rsidRPr="008525DD">
        <w:rPr>
          <w:rFonts w:ascii="Times New Roman" w:hAnsi="Times New Roman" w:cs="Times New Roman"/>
          <w:iCs/>
          <w:sz w:val="28"/>
          <w:szCs w:val="28"/>
        </w:rPr>
        <w:t>Эларум</w:t>
      </w:r>
      <w:proofErr w:type="spellEnd"/>
      <w:r w:rsidRPr="008525DD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8525DD">
        <w:rPr>
          <w:rFonts w:ascii="Times New Roman" w:hAnsi="Times New Roman" w:cs="Times New Roman"/>
          <w:iCs/>
          <w:sz w:val="28"/>
          <w:szCs w:val="28"/>
        </w:rPr>
        <w:t>Фарма</w:t>
      </w:r>
      <w:proofErr w:type="spellEnd"/>
      <w:r w:rsidRPr="008525DD">
        <w:rPr>
          <w:rFonts w:ascii="Times New Roman" w:hAnsi="Times New Roman" w:cs="Times New Roman"/>
          <w:iCs/>
          <w:sz w:val="28"/>
          <w:szCs w:val="28"/>
        </w:rPr>
        <w:t>»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ул. Скотопрогонная, д. 27/26, стр. 1, этаж 4, пом. 15,</w:t>
      </w:r>
    </w:p>
    <w:p w:rsidR="00796F73" w:rsidRPr="008525DD" w:rsidRDefault="00796F73" w:rsidP="00796F73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Москва, 109029</w:t>
      </w:r>
    </w:p>
    <w:p w:rsidR="000E2B86" w:rsidRPr="008525DD" w:rsidRDefault="00796F73" w:rsidP="00796F73">
      <w:pPr>
        <w:pStyle w:val="Standard"/>
        <w:ind w:left="5103"/>
        <w:rPr>
          <w:rFonts w:ascii="Times New Roman" w:hAnsi="Times New Roman" w:cs="Times New Roman"/>
          <w:sz w:val="28"/>
          <w:szCs w:val="28"/>
        </w:rPr>
      </w:pPr>
      <w:r w:rsidRPr="008525DD">
        <w:rPr>
          <w:rFonts w:ascii="Times New Roman" w:hAnsi="Times New Roman" w:cs="Times New Roman"/>
          <w:iCs/>
          <w:sz w:val="28"/>
          <w:szCs w:val="28"/>
        </w:rPr>
        <w:t>эл. почта: elph@elarum-pharm.ru</w:t>
      </w:r>
    </w:p>
    <w:p w:rsidR="005665C0" w:rsidRPr="008525DD" w:rsidRDefault="005665C0" w:rsidP="000E2B86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5665C0" w:rsidRDefault="005665C0" w:rsidP="000E2B86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529F4" w:rsidRDefault="008529F4" w:rsidP="000E2B86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529F4" w:rsidRPr="008525DD" w:rsidRDefault="008529F4" w:rsidP="000E2B86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E2B86" w:rsidRPr="008525DD" w:rsidRDefault="000E2B86" w:rsidP="000E2B86">
      <w:pPr>
        <w:pStyle w:val="Standard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525DD">
        <w:rPr>
          <w:rFonts w:ascii="Times New Roman" w:hAnsi="Times New Roman" w:cs="Times New Roman"/>
          <w:sz w:val="28"/>
          <w:szCs w:val="28"/>
        </w:rPr>
        <w:t>РЕШЕНИЕ</w:t>
      </w:r>
    </w:p>
    <w:p w:rsidR="000E2B86" w:rsidRPr="008525DD" w:rsidRDefault="000E2B86" w:rsidP="000E2B86">
      <w:pPr>
        <w:pStyle w:val="Standard"/>
        <w:jc w:val="center"/>
        <w:rPr>
          <w:rFonts w:ascii="Times New Roman" w:hAnsi="Times New Roman" w:cs="Times New Roman"/>
        </w:rPr>
      </w:pPr>
      <w:r w:rsidRPr="008525DD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8525DD">
        <w:rPr>
          <w:rFonts w:ascii="Times New Roman" w:hAnsi="Times New Roman" w:cs="Times New Roman"/>
          <w:b/>
          <w:bCs/>
          <w:sz w:val="28"/>
          <w:szCs w:val="28"/>
        </w:rPr>
        <w:t>№ 44-</w:t>
      </w:r>
      <w:r w:rsidR="00FE4D03" w:rsidRPr="00FE4D03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E4D03" w:rsidRPr="008529F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525DD">
        <w:rPr>
          <w:rFonts w:ascii="Times New Roman" w:hAnsi="Times New Roman" w:cs="Times New Roman"/>
          <w:b/>
          <w:bCs/>
          <w:sz w:val="28"/>
          <w:szCs w:val="28"/>
        </w:rPr>
        <w:t>/24</w:t>
      </w:r>
      <w:r w:rsidRPr="008525DD">
        <w:rPr>
          <w:rFonts w:ascii="Times New Roman" w:hAnsi="Times New Roman" w:cs="Times New Roman"/>
          <w:sz w:val="28"/>
          <w:szCs w:val="28"/>
        </w:rPr>
        <w:t xml:space="preserve"> </w:t>
      </w:r>
      <w:r w:rsidRPr="008525DD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0E2B86" w:rsidRPr="008525DD" w:rsidRDefault="000E2B86" w:rsidP="000E2B86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0E2B86" w:rsidRPr="008525DD" w:rsidRDefault="000E2B86" w:rsidP="000E2B86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525DD">
        <w:rPr>
          <w:rFonts w:ascii="Times New Roman" w:hAnsi="Times New Roman" w:cs="Times New Roman"/>
          <w:sz w:val="28"/>
          <w:szCs w:val="28"/>
        </w:rPr>
        <w:t>11.01.2024                                                                                          Санкт-Петербург</w:t>
      </w:r>
    </w:p>
    <w:p w:rsidR="000E2B86" w:rsidRPr="008525DD" w:rsidRDefault="000E2B86" w:rsidP="000E2B86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0E2B86" w:rsidRPr="008525DD" w:rsidRDefault="000E2B86" w:rsidP="000E2B86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5DD">
        <w:rPr>
          <w:rFonts w:ascii="Times New Roman" w:hAnsi="Times New Roman" w:cs="Times New Roman"/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8529F4" w:rsidRDefault="008529F4" w:rsidP="00796F7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2B86" w:rsidRPr="008525DD" w:rsidRDefault="000E2B86" w:rsidP="00796F73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5DD">
        <w:rPr>
          <w:rFonts w:ascii="Times New Roman" w:hAnsi="Times New Roman" w:cs="Times New Roman"/>
          <w:sz w:val="28"/>
          <w:szCs w:val="28"/>
        </w:rPr>
        <w:t>при участии представителей:</w:t>
      </w:r>
    </w:p>
    <w:p w:rsidR="005665C0" w:rsidRPr="008525DD" w:rsidRDefault="00796F73" w:rsidP="00796F73">
      <w:pPr>
        <w:pStyle w:val="Standard"/>
        <w:tabs>
          <w:tab w:val="left" w:pos="0"/>
        </w:tabs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hAnsi="Times New Roman" w:cs="Times New Roman"/>
          <w:sz w:val="28"/>
          <w:szCs w:val="28"/>
        </w:rPr>
        <w:t xml:space="preserve">СПб ГБУЗ «Городская больница № 40 </w:t>
      </w:r>
      <w:r w:rsidR="000E2B86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(далее – Заказчик</w:t>
      </w:r>
      <w:proofErr w:type="gramStart"/>
      <w:r w:rsidR="000E2B86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):</w:t>
      </w:r>
      <w:r w:rsidRPr="008525DD"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0E2B86" w:rsidRPr="008525DD" w:rsidRDefault="00796F73" w:rsidP="00796F73">
      <w:pPr>
        <w:pStyle w:val="Standard"/>
        <w:tabs>
          <w:tab w:val="left" w:pos="0"/>
        </w:tabs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525DD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8525DD">
        <w:rPr>
          <w:rFonts w:ascii="Times New Roman" w:hAnsi="Times New Roman" w:cs="Times New Roman"/>
          <w:sz w:val="28"/>
          <w:szCs w:val="28"/>
        </w:rPr>
        <w:t>Эларум</w:t>
      </w:r>
      <w:proofErr w:type="spellEnd"/>
      <w:r w:rsidRPr="008525D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25DD">
        <w:rPr>
          <w:rFonts w:ascii="Times New Roman" w:hAnsi="Times New Roman" w:cs="Times New Roman"/>
          <w:sz w:val="28"/>
          <w:szCs w:val="28"/>
        </w:rPr>
        <w:t>Фарма</w:t>
      </w:r>
      <w:proofErr w:type="spellEnd"/>
      <w:r w:rsidRPr="008525DD">
        <w:rPr>
          <w:rFonts w:ascii="Times New Roman" w:hAnsi="Times New Roman" w:cs="Times New Roman"/>
          <w:sz w:val="28"/>
          <w:szCs w:val="28"/>
        </w:rPr>
        <w:t xml:space="preserve">» </w:t>
      </w:r>
      <w:r w:rsidR="000E2B86" w:rsidRPr="008525DD">
        <w:rPr>
          <w:rFonts w:ascii="Times New Roman" w:hAnsi="Times New Roman" w:cs="Times New Roman"/>
          <w:sz w:val="28"/>
          <w:szCs w:val="28"/>
        </w:rPr>
        <w:t>(далее – Заявитель</w:t>
      </w:r>
      <w:proofErr w:type="gramStart"/>
      <w:r w:rsidR="000E2B86" w:rsidRPr="008525DD">
        <w:rPr>
          <w:rFonts w:ascii="Times New Roman" w:hAnsi="Times New Roman" w:cs="Times New Roman"/>
          <w:sz w:val="28"/>
          <w:szCs w:val="28"/>
        </w:rPr>
        <w:t>)</w:t>
      </w:r>
      <w:r w:rsidRPr="008525DD">
        <w:rPr>
          <w:rFonts w:ascii="Times New Roman" w:hAnsi="Times New Roman" w:cs="Times New Roman"/>
          <w:sz w:val="28"/>
          <w:szCs w:val="28"/>
        </w:rPr>
        <w:t>:</w:t>
      </w:r>
      <w:r w:rsidRPr="008525DD">
        <w:rPr>
          <w:rFonts w:ascii="Times New Roman" w:hAnsi="Times New Roman" w:cs="Times New Roman"/>
          <w:sz w:val="27"/>
          <w:szCs w:val="27"/>
        </w:rPr>
        <w:t>;</w:t>
      </w:r>
      <w:proofErr w:type="gramEnd"/>
    </w:p>
    <w:p w:rsidR="000E2B86" w:rsidRPr="008525DD" w:rsidRDefault="000E2B86" w:rsidP="000E2B86">
      <w:pPr>
        <w:ind w:firstLine="709"/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hAnsi="Times New Roman" w:cs="Times New Roman"/>
          <w:spacing w:val="6"/>
          <w:sz w:val="28"/>
          <w:szCs w:val="28"/>
        </w:rPr>
        <w:t>р</w:t>
      </w:r>
      <w:r w:rsidRPr="008525DD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Pr="008525DD">
        <w:rPr>
          <w:rFonts w:ascii="Times New Roman" w:hAnsi="Times New Roman" w:cs="Times New Roman"/>
          <w:bCs/>
          <w:sz w:val="28"/>
          <w:szCs w:val="28"/>
        </w:rPr>
        <w:t xml:space="preserve">Заявителя </w:t>
      </w:r>
      <w:r w:rsidRPr="008525DD">
        <w:rPr>
          <w:rFonts w:ascii="Times New Roman" w:hAnsi="Times New Roman" w:cs="Times New Roman"/>
          <w:bCs/>
          <w:sz w:val="28"/>
          <w:szCs w:val="28"/>
        </w:rPr>
        <w:br/>
      </w:r>
      <w:r w:rsidRPr="008525D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8525DD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Pr="008525DD">
        <w:rPr>
          <w:rFonts w:ascii="Times New Roman" w:hAnsi="Times New Roman" w:cs="Times New Roman"/>
          <w:sz w:val="28"/>
          <w:szCs w:val="28"/>
        </w:rPr>
        <w:t xml:space="preserve">. № </w:t>
      </w:r>
      <w:r w:rsidR="00796F73" w:rsidRPr="008525DD">
        <w:rPr>
          <w:rFonts w:ascii="Times New Roman" w:hAnsi="Times New Roman" w:cs="Times New Roman"/>
          <w:sz w:val="28"/>
          <w:szCs w:val="28"/>
        </w:rPr>
        <w:t>34813-ЭП/23 от 28.12.2023</w:t>
      </w:r>
      <w:r w:rsidRPr="008525DD">
        <w:rPr>
          <w:rFonts w:ascii="Times New Roman" w:hAnsi="Times New Roman" w:cs="Times New Roman"/>
          <w:sz w:val="28"/>
          <w:szCs w:val="28"/>
        </w:rPr>
        <w:t xml:space="preserve">)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Заказчика </w:t>
      </w:r>
      <w:r w:rsidR="00796F73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определении (подрядчика, исполнителя) путем проведения электронного аукциона на поставку №98 лекарственных средств (МНН: Железа [III] гидроксид декстран) в 2024 году (извещение № 0372200047723001097)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0E2B86" w:rsidRPr="008525DD" w:rsidRDefault="000E2B86" w:rsidP="000E2B86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E2B86" w:rsidRPr="008525DD" w:rsidRDefault="000E2B86" w:rsidP="000E2B86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lastRenderedPageBreak/>
        <w:t>УСТАНОВИЛА:</w:t>
      </w:r>
    </w:p>
    <w:p w:rsidR="000E2B86" w:rsidRPr="008525DD" w:rsidRDefault="000E2B86" w:rsidP="000E2B86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E2B86" w:rsidRPr="008525DD" w:rsidRDefault="000E2B86" w:rsidP="000E2B86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796F73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20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.12.2023 в единой информационной системе, номер извещения </w:t>
      </w:r>
      <w:r w:rsidR="00796F73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0372200047723001097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796F73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96 310,00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рублей.</w:t>
      </w:r>
    </w:p>
    <w:p w:rsidR="000E2B86" w:rsidRPr="008525DD" w:rsidRDefault="000E2B86" w:rsidP="000E2B86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796F73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Заявитель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Заказчика, выразившиеся, по мнению Заявителя, в нарушении порядка описания объекта закупки, путем установления требований, не отвечающих требованиям законодательства и ограничивающих количество участников закупки.</w:t>
      </w:r>
    </w:p>
    <w:p w:rsidR="000E2B86" w:rsidRPr="008525DD" w:rsidRDefault="000E2B86" w:rsidP="000E2B86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</w:t>
      </w:r>
      <w:r w:rsidR="00375BB5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ен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 xml:space="preserve">и </w:t>
      </w:r>
      <w:proofErr w:type="spellStart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счита</w:t>
      </w:r>
      <w:r w:rsidR="00375BB5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т</w:t>
      </w:r>
      <w:proofErr w:type="spellEnd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ее необоснованной по основаниям, изложенным в письменных возражениях на жалобу.</w:t>
      </w:r>
    </w:p>
    <w:p w:rsidR="000E2B86" w:rsidRPr="008525DD" w:rsidRDefault="000E2B86" w:rsidP="000E2B86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Информация, изложенная в жалобе, пояснения представителей сторон, представленные документы подтверждают следующие обстоятельства.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п. 5 ч. 1 ст. 42 Закона о контрактной системе извещение об осуществлении закупки должно содержать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 (далее – КТРУ),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группировочные</w:t>
      </w:r>
      <w:proofErr w:type="spellEnd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наименования.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Пункт 2 Правил использования каталога товаров, работ, услуг для обеспечения государственных и муниципальных нужд, утверждённых Постановлением Правительства РФ от 08.02.2017 N 145"Об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– Правила использования КТРУ) гласит: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2. Каталог используется заказчиками в целях: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обеспечения применения информации о товарах, работах, услугах, в том числе в: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извещении об осуществлении закупки;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приглашении принять участие в определении поставщика (подрядчика, исполнителя) (далее - приглашение);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документации о закупке (в случае если Федеральным законом предусмотрена документация о закупке);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контракте;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реестре контрактов, заключенных заказчиками;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б) описания объектов закупки, которое включается в извещение об осуществлении закупки, приглашение и документацию о закупке (в случае если Федеральным законом предусмотрена документация о закупке);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Пункт 4 Правил использования КТРУ гласит: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4. Заказчики обязаны применять информацию, включенную в позицию каталога в 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наименование товара, работы, услуги;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единицы измерения количества товара, объема выполняемой работы, оказываемой услуги (при наличии);</w:t>
      </w:r>
    </w:p>
    <w:p w:rsidR="00375BB5" w:rsidRPr="008525DD" w:rsidRDefault="00375BB5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в) описание товара, работы, услуги (при наличии такого описания в позиции).</w:t>
      </w:r>
    </w:p>
    <w:p w:rsidR="000E2B86" w:rsidRPr="008525DD" w:rsidRDefault="000E2B86" w:rsidP="00375BB5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п. 1 ч. 2 ст. 42 Закона о контрактной системе, извещение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  <w:t>об осуществлении закупки, если иное не предусмотрено настоящим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Согласно п. 1, п. 2 ч. 1 ст. 33 Закона о контрактной системе,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а) сопровождение такого указания словами «или эквивалент»;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lastRenderedPageBreak/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Таким образом, по смыслу ст. 33 Закона о контрактной системе, 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br/>
        <w:t>при формировании Технического задания Заказчику в рамках Закона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br/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параметров</w:t>
      </w:r>
      <w:proofErr w:type="gramEnd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В соответствии с ч. 2 ст. 19 Закона о контрактной системе,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br/>
        <w:t xml:space="preserve"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lastRenderedPageBreak/>
        <w:t>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Пунктом 6 части 1 статьи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группировочные</w:t>
      </w:r>
      <w:proofErr w:type="spellEnd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наименования, если объектом закупки являются лекарственные средства. Заказчик при осуществлении закупки лекарственных средств, входящих в перечень лекарственных средств, закупка которых осуществляется в соответствии с их торговыми наименованиями, а также при осуществлении закупки лекарственных препаратов в соответствии с подпунктом "г" пункта 2 части 10 статьи 24 настоящего Федерального закона вправе указывать торговые наименования этих лекарственных средств. Указанный перечень и порядок его формирования утверждаются Правительством Российской Федерации. В случае, если объектом закупки являются лекарственные средства, предметом одного контракта (одного лота)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химическими, </w:t>
      </w:r>
      <w:proofErr w:type="spellStart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группировочными</w:t>
      </w:r>
      <w:proofErr w:type="spellEnd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наименованиями при условии, что начальная (максимальная) цена контракта (цена лота) превышает предельное значение, установленное Правительством Российской Федерации, а также лекарственные средства с международными непатентованными наименованиями (при отсутствии таких наименований с химическими, </w:t>
      </w:r>
      <w:proofErr w:type="spellStart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группировочными</w:t>
      </w:r>
      <w:proofErr w:type="spellEnd"/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наименованиями) и торговыми наименованиями. Положения настоящего пункта не применяются при определении поставщика лекарственных препаратов, с которым заключается контракт со встречными инвестиционными обязательствами в соответствии со статьей 111.4 настоящего Федерального закона.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Частью 5 ст. 33 Закона о контрактной системе установлено, что особенности описания отдельных видов объектов закупок могут устанавливаться Правительством Российской Федерации.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Особенности описания лекарственных препаратов установлены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– Особенности описания лекарственных препаратов).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В соответствии с п. 5.1 ст. 4 Федерального закона 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br/>
        <w:t xml:space="preserve">от 12.04.2010 № 61-ФЗ «Об обращении лекарственных средств» (далее - Закон об обращении лекарственных средств), под дозировкой понимается содержание одного или нескольких действующих веществ в количественном выражении на единицу дозы, или единицу объема, или единицу массы в соответствии с лекарственной формой либо для некоторых видов лекарственных форм количество 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lastRenderedPageBreak/>
        <w:t>высвобождаемого из лекарственной формы действующего вещества за единицу времени.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Согласно ч. 1 ст. 13 Закона об обращении лекарственных средств, 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br/>
        <w:t>в Российской Федерации допускаются производство, изготовление, хранение, перевозка, ввоз в Российскую Федерацию, вывоз из Российской Федерации, реклама, отпуск, реализация, передача, применение, уничтожение лекарственных препаратов, если они зарегистрированы соответствующим уполномоченным федеральным органом исполнительной власти.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В соответствии с ч. 1 ст. 29 Закона об обращении лекарственных средств,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случае, указанном в части 2 статьи 28 Закона об обращении лекарственных средств, в срок,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препарата. Не осуществляется подтверждение государственной регистрации в отношении лекарственного препарата, не находившегося в обращении в Российской Федерации в течение трех и более лет, а также в отношении лекарственного средства, произведенного с нарушением требования, установленного частью 3.7 статьи 71 Закона об обращении лекарственных средств.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Согласно пункту 2 Особенностей описания лекарственных препаратов для медицинского применения, являющихся объектом закупки для обеспечения государственных и муниципальных нужд, утвержденных Постановлением Правительства РФ от 15.11.2017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 (далее - Постановление)</w:t>
      </w:r>
      <w:r w:rsidR="00067A74"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,</w:t>
      </w: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 xml:space="preserve"> при описании в документации о закупке заказчики помимо сведений, предусмотренных пунктом 6 части 1 статьи 33 Закона о контрактной системе, указывают: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а) лекарственную форму препарата, включая в том числе эквивалентные лекарственные формы, за исключением описания лекарственной формы и ее характеристик, содержащихся в инструкциях по применению лекарственных препаратов и указывающих на конкретного производителя (например, описание цвета, формы, вкуса и др.);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t>б) дозировку лекарственного препарата с возможностью поставки лекарственного препарата в кратной дозировке и двойном количестве (например, при закупке таблетки с дозировкой 300 мг в документации о закупке указывается: 1 таблетка с дозировкой 300 мг или 2 таблетки с дозировкой 150 мг), а также с возможностью поставки лекарственного препарата в некратных эквивалентных дозировках, позволяющих достичь одинакового терапевтического эффекта (например, флаконы 2,5 мг, или 3 мг, или 3,5 мг), допускается указание концентрации лекарственного препарата без установления кратности;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 w:bidi="ar-SA"/>
        </w:rPr>
        <w:lastRenderedPageBreak/>
        <w:t>в) остаточный срок годности лекарственного препарата, выраженный в единицах измерения времени (например, «не ранее 1 января 2020 г.» или «не менее 12 месяцев с даты заключения контракта» и др.).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Согласно пункту 5 Особенностей описания лекарственных препаратов, при описании объекта закупки не допускается указывать, в том числе: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а) эквивалентные дозировки лекарственного препарата, предусматривающие необходимость деления твердой лекарственной формы препарата;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б) дозировку лекарственного препарата в определенных единицах измерения при возможности конвертирования в иные единицы измерения (например, «МЕ» (международная единица) может быть конвертирована в «мг» или «процент» может быть конвертирован в «мг/мл» и т.д.);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в) объем наполнения первичной упаковки лекарственного препарата, за исключением растворов для </w:t>
      </w:r>
      <w:proofErr w:type="spellStart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инфузий</w:t>
      </w:r>
      <w:proofErr w:type="spellEnd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г) наличие (отсутствие) вспомогательных веществ;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д) фиксированный температурный режим хранения препаратов при наличии альтернативного;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е) форму выпуска (первичной упаковки) лекарственного препарата (например, «ампула», «флакон», «блистер» и др.);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ж) количество единиц (таблеток, ампул) лекарственного препарата во вторичной упаковке, а также требование поставки конкретного количества упаковок вместо количества лекарственного препарата;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з) требования к показателям </w:t>
      </w:r>
      <w:proofErr w:type="spellStart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фармакодинамики</w:t>
      </w:r>
      <w:proofErr w:type="spellEnd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и (или) </w:t>
      </w:r>
      <w:proofErr w:type="spellStart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фармакокинетики</w:t>
      </w:r>
      <w:proofErr w:type="spellEnd"/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 xml:space="preserve"> лекарственного препарата (например, время начала действия, проявление максимального эффекта, продолжительность действия лекарственного препарата);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и) иные характеристики лекарственных препаратов, содержащиеся в инструкциях по применению лекарственных препаратов, указывающие на конкретного производителя лекарственного препарата.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Согласно пункту 6 Особенностей описания лекарственных препаратов, описание объекта закупки может содержать указание на характеристики, предусмотренные подпунктами «в» - «и» пункта 5 Особенностей описания лекарственных препаратов, в случае, если не имеется иной возможности описать лекарственные препараты. При этом описание объекта закупки должно содержать: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а) обоснование необходимости указания таких характеристик;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б) показатели, позволяющие определить соответствие закупаемых лекарственных препаратов установленным характеристикам и максимальные и (или) минимальные значения таких показателей, а также значения показателей, которые не могут изменяться.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Из содержания извещения о проведении заку</w:t>
      </w:r>
      <w:r w:rsidR="00067A74"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пки следует, что в его составе З</w:t>
      </w: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аказчиком приведено описание объекта закупки, в частности</w:t>
      </w:r>
      <w:r w:rsidR="00067A74"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, З</w:t>
      </w: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аказчиком осуществляется закупки препарата «</w:t>
      </w:r>
      <w:r w:rsidR="00375BB5"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Железа [III] гидроксид декстран</w:t>
      </w:r>
      <w:r w:rsidRPr="008525DD"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  <w:t>» со следующими характеристиками:</w:t>
      </w:r>
    </w:p>
    <w:p w:rsidR="00067A74" w:rsidRPr="008525DD" w:rsidRDefault="00067A74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</w:p>
    <w:tbl>
      <w:tblPr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6"/>
        <w:gridCol w:w="891"/>
        <w:gridCol w:w="978"/>
        <w:gridCol w:w="655"/>
        <w:gridCol w:w="1408"/>
        <w:gridCol w:w="859"/>
        <w:gridCol w:w="374"/>
        <w:gridCol w:w="1292"/>
        <w:gridCol w:w="3251"/>
      </w:tblGrid>
      <w:tr w:rsidR="00375BB5" w:rsidRPr="008525DD" w:rsidTr="00D40FF9">
        <w:trPr>
          <w:trHeight w:val="20"/>
          <w:tblHeader/>
        </w:trPr>
        <w:tc>
          <w:tcPr>
            <w:tcW w:w="306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lastRenderedPageBreak/>
              <w:t>№ п/п</w:t>
            </w:r>
          </w:p>
        </w:tc>
        <w:tc>
          <w:tcPr>
            <w:tcW w:w="891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 xml:space="preserve">КТРУ </w:t>
            </w:r>
          </w:p>
        </w:tc>
        <w:tc>
          <w:tcPr>
            <w:tcW w:w="978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 xml:space="preserve">Международное непатентованное или </w:t>
            </w:r>
            <w:proofErr w:type="gramStart"/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химическое</w:t>
            </w:r>
            <w:proofErr w:type="gramEnd"/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 xml:space="preserve"> или </w:t>
            </w:r>
            <w:proofErr w:type="spellStart"/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группировочное</w:t>
            </w:r>
            <w:proofErr w:type="spellEnd"/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 xml:space="preserve"> наименование</w:t>
            </w:r>
          </w:p>
        </w:tc>
        <w:tc>
          <w:tcPr>
            <w:tcW w:w="655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Признак включения в список ЖНВЛП</w:t>
            </w:r>
          </w:p>
        </w:tc>
        <w:tc>
          <w:tcPr>
            <w:tcW w:w="1408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Лекарственная форма</w:t>
            </w:r>
          </w:p>
        </w:tc>
        <w:tc>
          <w:tcPr>
            <w:tcW w:w="859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Дозировка</w:t>
            </w:r>
          </w:p>
        </w:tc>
        <w:tc>
          <w:tcPr>
            <w:tcW w:w="1666" w:type="dxa"/>
            <w:gridSpan w:val="2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Количество лекарственного препарата в единицах измерения, используемых при осуществлении закупки, согласно данным ЕСКЛП</w:t>
            </w:r>
          </w:p>
        </w:tc>
        <w:tc>
          <w:tcPr>
            <w:tcW w:w="3251" w:type="dxa"/>
            <w:vMerge w:val="restart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Иные требования и</w:t>
            </w:r>
            <w:r w:rsidRPr="008525DD">
              <w:rPr>
                <w:rFonts w:ascii="Times New Roman" w:eastAsia="Times New Roman" w:hAnsi="Times New Roman" w:cs="Times New Roman"/>
                <w:color w:val="000000"/>
                <w:sz w:val="11"/>
                <w:szCs w:val="9"/>
              </w:rPr>
              <w:t xml:space="preserve"> </w:t>
            </w: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11"/>
                <w:szCs w:val="9"/>
              </w:rPr>
              <w:t>их обоснования</w:t>
            </w:r>
          </w:p>
        </w:tc>
      </w:tr>
      <w:tr w:rsidR="00375BB5" w:rsidRPr="008525DD" w:rsidTr="00D40FF9">
        <w:trPr>
          <w:trHeight w:val="20"/>
          <w:tblHeader/>
        </w:trPr>
        <w:tc>
          <w:tcPr>
            <w:tcW w:w="306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891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978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655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1408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  <w:tc>
          <w:tcPr>
            <w:tcW w:w="374" w:type="dxa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Ед. изм.</w:t>
            </w:r>
          </w:p>
        </w:tc>
        <w:tc>
          <w:tcPr>
            <w:tcW w:w="1292" w:type="dxa"/>
            <w:shd w:val="clear" w:color="auto" w:fill="F2F2F2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Количество</w:t>
            </w:r>
          </w:p>
        </w:tc>
        <w:tc>
          <w:tcPr>
            <w:tcW w:w="3251" w:type="dxa"/>
            <w:vMerge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</w:p>
        </w:tc>
      </w:tr>
      <w:tr w:rsidR="008525DD" w:rsidRPr="008525DD" w:rsidTr="00D40FF9">
        <w:trPr>
          <w:trHeight w:val="20"/>
          <w:tblHeader/>
        </w:trPr>
        <w:tc>
          <w:tcPr>
            <w:tcW w:w="306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1</w:t>
            </w:r>
          </w:p>
        </w:tc>
        <w:tc>
          <w:tcPr>
            <w:tcW w:w="891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2</w:t>
            </w:r>
          </w:p>
        </w:tc>
        <w:tc>
          <w:tcPr>
            <w:tcW w:w="978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3</w:t>
            </w:r>
          </w:p>
        </w:tc>
        <w:tc>
          <w:tcPr>
            <w:tcW w:w="655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4</w:t>
            </w:r>
          </w:p>
        </w:tc>
        <w:tc>
          <w:tcPr>
            <w:tcW w:w="1408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5</w:t>
            </w:r>
          </w:p>
        </w:tc>
        <w:tc>
          <w:tcPr>
            <w:tcW w:w="859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6</w:t>
            </w:r>
          </w:p>
        </w:tc>
        <w:tc>
          <w:tcPr>
            <w:tcW w:w="374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7</w:t>
            </w:r>
          </w:p>
        </w:tc>
        <w:tc>
          <w:tcPr>
            <w:tcW w:w="1292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8</w:t>
            </w:r>
          </w:p>
        </w:tc>
        <w:tc>
          <w:tcPr>
            <w:tcW w:w="3251" w:type="dxa"/>
            <w:vAlign w:val="center"/>
            <w:hideMark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</w:pPr>
            <w:r w:rsidRPr="008525DD">
              <w:rPr>
                <w:rFonts w:ascii="Times New Roman" w:eastAsia="Times New Roman" w:hAnsi="Times New Roman" w:cs="Times New Roman"/>
                <w:b/>
                <w:bCs/>
                <w:color w:val="000000"/>
                <w:sz w:val="9"/>
                <w:szCs w:val="9"/>
              </w:rPr>
              <w:t>9</w:t>
            </w:r>
          </w:p>
        </w:tc>
      </w:tr>
      <w:tr w:rsidR="008525DD" w:rsidRPr="008525DD" w:rsidTr="00D40FF9">
        <w:trPr>
          <w:trHeight w:val="20"/>
        </w:trPr>
        <w:tc>
          <w:tcPr>
            <w:tcW w:w="306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1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21.20.10.133-000013-1-00032-0000000000000</w:t>
            </w:r>
          </w:p>
        </w:tc>
        <w:tc>
          <w:tcPr>
            <w:tcW w:w="978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Железа [III] гидроксид декстран</w:t>
            </w:r>
          </w:p>
        </w:tc>
        <w:tc>
          <w:tcPr>
            <w:tcW w:w="655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Нет</w:t>
            </w:r>
          </w:p>
        </w:tc>
        <w:tc>
          <w:tcPr>
            <w:tcW w:w="1408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Раствор для внутримышечного введения</w:t>
            </w:r>
          </w:p>
        </w:tc>
        <w:tc>
          <w:tcPr>
            <w:tcW w:w="859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50 мг/мл</w:t>
            </w:r>
          </w:p>
        </w:tc>
        <w:tc>
          <w:tcPr>
            <w:tcW w:w="374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292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Не менее </w:t>
            </w:r>
            <w:r w:rsidRPr="008525DD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1 000</w:t>
            </w:r>
          </w:p>
        </w:tc>
        <w:tc>
          <w:tcPr>
            <w:tcW w:w="3251" w:type="dxa"/>
            <w:vAlign w:val="center"/>
          </w:tcPr>
          <w:p w:rsidR="00375BB5" w:rsidRPr="008525DD" w:rsidRDefault="00375BB5" w:rsidP="003124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8525DD">
              <w:rPr>
                <w:rFonts w:ascii="Times New Roman" w:hAnsi="Times New Roman" w:cs="Times New Roman"/>
                <w:sz w:val="18"/>
                <w:szCs w:val="18"/>
              </w:rPr>
              <w:t>Объем наполнения первичной упаковки 2 мл (обоснование - указан оптимальный объем для достижения необходимого терапевтического эффекта в соответствии со стандартами оказания медицинской помощи – Участник вправе указать иной объем наполнения первичной упаковки)</w:t>
            </w:r>
          </w:p>
        </w:tc>
      </w:tr>
    </w:tbl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 мнению Заявителя, Заказчиком неправомерно не указана эквивалентная лекарственная форма препарата.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Согласно пункту 7 Особенностей описания лекарственных препаратов, при описании лекарственных препаратов, не включенных в перечень лекарственных средств, закупка которых осуществляется в соответствии с их торговыми наименованиями, в описании объекта закупки используется информация о взаимозаменяемости лекарственных препаратов для медицинского применения, содержащаяся в перечне взаимозаменяемых лекарственных препаратов, размещенном на официальном сайте Министерства здравоохранения Российской Федерации в информационно-телекоммуникационной сети «Интернет».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соответствии с пунктом 8 Особенностей описания лекарственных препаратов, при описании объекта закупки лекарственных препаратов для медицинского применения, информация о взаимозаменяемости которых содержится в указанном перечне, не допускается устанавливать требования к критериям взаимозаменяемости лекарственных препаратов, предусмотренным </w:t>
      </w:r>
      <w:hyperlink r:id="rId7" w:anchor="/document/99/902209774/XA00MDQ2N7/" w:history="1">
        <w:r w:rsidRPr="008525DD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частью 2 статьи 27.1 Федерального закона «Об обращении лекарственных средств»</w:t>
        </w:r>
      </w:hyperlink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если такие требования влекут за собой несоответствие описанию объекта закупки одного или нескольких лекарственных препаратов, включенных в одну группу взаимозаменяемости с лекарственными препаратами, соответствующими описанию объекта закупки.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Постановлением Правительства РФ от 04.09.2020 № 1357 «Об утверждении Правил использования информации о взаимозаменяемых лекарственных препаратах для медицинского применения и дачи разъяснений по вопросам взаимозаменяемости лекарственных препаратов для медицинского применения, а также о внесении изменения в особенности описания лекарственных препаратов для медицинского применения, являющихся объектом закупки для обеспечения государственных и муниципальных нужд» утверждены Правила </w:t>
      </w:r>
      <w:hyperlink r:id="rId8" w:anchor="/document/99/565675599/infobar-card/_self" w:tgtFrame="https://gjur.action360.ru/" w:history="1">
        <w:r w:rsidRPr="008525DD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использования информации о взаимозаменяемых лекарственных препаратах для медицинского применения и дачи разъяснений по вопросам взаимозаменяемости лекарственных препаратов для медицинского применения</w:t>
        </w:r>
      </w:hyperlink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(далее - Правила).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Согласно пункта 2 Правил, информационным ресурсом, содержащим информацию о взаимозаменяемых лекарственных препаратах, является официальный сайт Министерства здравоохранения Российской Федерации в информационно-телекоммуникационной сети «Интернет», на котором размещается перечень взаимозаменяемых лекарственных препаратов.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В соответствии с пунктом 4 Правил, в соответствии с </w:t>
      </w:r>
      <w:hyperlink r:id="rId9" w:anchor="/document/99/555643772/XA00LVA2M9/" w:history="1">
        <w:r w:rsidRPr="008525DD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особенностями описания лекарственных препаратов для медицинского применения, являющихся объектом закупки для обеспечения государственных и муниципальных нужд</w:t>
        </w:r>
      </w:hyperlink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утвержденными </w:t>
      </w:r>
      <w:hyperlink r:id="rId10" w:anchor="/document/99/555643772/" w:history="1">
        <w:r w:rsidRPr="008525DD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постановлением Правительства Российской Федерации от 15 ноября 2017 г. № 1380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</w:t>
        </w:r>
      </w:hyperlink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заказчиками используется информация о взаимозаменяемых лекарственных препаратах при описании в извещении и документации о закупке лекарственных препаратов, являющихся объектом закупки для обеспечения государственных и муниципальных нужд.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соответствии с пунктом 4 части III постановления Правительства Российской Федерации от 09.02.2022 № 140 «О единой государственной информационной системе в сфере здравоохранения», единая система включает в себя подсистему ведения реестров лекарственных препаратов для медицинского применения.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Согласно пункту 19 части III постановления Правительства Российской Федерации от 09.02.2022 № 140 «О единой государственной информационной системе в сфере здравоохранения», подсистема ведения реестров лекарственных препаратов для медицинского применения обеспечивает ведение информационных систем (информационных ресурсов) и баз данных, содержащих сведения об обращении лекарственных препаратов с целью реализации государственных услуг (функций) в сфере обращения лекарственных препаратов для медицинского применения, а также предоставления гражданам услуг в сфере охраны здоровья в электронной форме.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hyperlink r:id="rId11" w:history="1">
        <w:r w:rsidRPr="008525DD">
          <w:rPr>
            <w:rFonts w:ascii="Times New Roman" w:eastAsia="Times New Roman" w:hAnsi="Times New Roman" w:cs="Times New Roman"/>
            <w:kern w:val="0"/>
            <w:sz w:val="28"/>
            <w:szCs w:val="28"/>
            <w:lang w:eastAsia="ru-RU" w:bidi="ar-SA"/>
          </w:rPr>
          <w:t>подп. б) пункта 20</w:t>
        </w:r>
      </w:hyperlink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части III постановления Правительства Российской Федерации от 09.02.2022 № 140 «О единой государственной информационной системе в сфере здравоохранения», подсистема ведения реестров лекарственных препаратов для медицинского применения обеспечивает, в том числе, формирование единого структурированного справочника-каталога лекарственных препаратов для медицинского применения на основании сведений государственного реестра лекарственных средств для медицинского применения, государственного реестра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в том числе в целях формирования каталога товаров, работ, услуг для обеспечения государственных и муниципальных нужд. Информация, содержащаяся в едином структурированном справочнике-каталоге лекарственных препаратов для медицинского применения, является публичной.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письму Минздрава России от 17.11.2020 N 18-2/И/2-17599 «О </w:t>
      </w:r>
      <w:proofErr w:type="spellStart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потапном</w:t>
      </w:r>
      <w:proofErr w:type="spellEnd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переходе на обязательное применение ЕСКЛП</w:t>
      </w:r>
      <w:proofErr w:type="gramStart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»</w:t>
      </w:r>
      <w:proofErr w:type="gramEnd"/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: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- в соответствии с перечнем Поручений Президента Российской Федерации от 10 августа 2016 г. № Пр-1567 посредством информационного взаимодействия ЕИС и единой государственной информационной системы в сфере здравоохранения (далее - ЕГИСЗ) обеспечена возможность загрузки единого 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структурированного справочника-каталога лекарственных препаратов для медицинского применения (далее - ЕСКЛП), формируемого Минздравом России, а также его применение заказчиками в ЕИС при описании объектов закупок в извещениях об осуществлении закупки, а также при формировании сведений о заключённых контрактах и их исполнении, подлежащих включению в реестр контрактов;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- при закупке лекарственных препаратов с 21.12.2020 обязательно применение всеми заказчиками ЕСКЛП, формируемого Минздравом России, при описании объектов закупок в извещениях об осуществлении закупки, а также при формировании сведений о заключённых контрактах и их исполнении, подлежащих включению в реестр контрактов;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- при осуществлении закупок лекарственных препаратов с возможностью поставок в рамках одного международного непатентованного наименования нескольких вариантов эквивалентных лекарственных форм и дозировок заказчики на стадии объявления закупки использовали разработанный в составе ЕИС функционал по добавлению в рамках выбранного международного непатентованного наименования лекарственного препарата соответствующих вариантов поставки, либо используя уже сформированные группы лекарственных препаратов, объединенные по принципу эквивалентности лекарственных форм и кратности дозировок. Справочные сведения об эквивалентных лекарственных формах и кратных дозировках лекарственных препаратов, включенных в перечень жизненно необходимых и важнейших лекарственных препаратов, размещены на сайте ЕСКЛП по адресу https://esklp.egisz.rosminzdrav.ru в разделе «Группы взаимозаменяемости ЛП».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соответствии с письмом Минздрава России от 25.06.2020 № 18-2/И/2-8895 «О разъяснении порядка применения сведений о взаимозаменяемости лекарственных препаратов, содержащихся в едином структурированном справочнике-каталоге лекарственных препаратов для медицинского применения, при описании в документации о закупке» в состав сведений ЕСКЛП включена информация о группах лекарственных препаратов, объединенных по принципам эквивалентности лекарственных форм и кратности дозировок.</w:t>
      </w:r>
    </w:p>
    <w:p w:rsidR="00D40FF9" w:rsidRPr="008525DD" w:rsidRDefault="00D40FF9" w:rsidP="00D40FF9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Согласно ЕСКЛП, который является официальным источником Министерства здравоохранения Российской Федерации в части сведений о лекарственных препаратах для медицинского применения, используемых заказчиками при описании объектов закупок в извещениях об осуществлении закупки, сведения о взаимозаменяемости закупаемого лекарственного препарата с МНН «Железа [III] гидроксид декстран» с указанной в Описании объекта закупки лекарственной формой и дозировкой отсутствуют.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указанных обстоятельствах Комиссия УФАС приходит к выводу о том, что приведенное в составе извещения описание закупаемого препарата </w:t>
      </w:r>
      <w:r w:rsidR="00067A74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 противоречит положениям ст. 33 Закона о контрактной системе, а</w:t>
      </w:r>
      <w:r w:rsidR="00067A74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следовательно,</w:t>
      </w:r>
      <w:r w:rsidR="00067A74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приведенные в жалобе З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 доводы отн</w:t>
      </w:r>
      <w:r w:rsidR="00067A74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осительно нарушения З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аказчиком правил описания объекта закупки не нашли своего подтверждения.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Учитывая изложенное, Комиссия УФ</w:t>
      </w:r>
      <w:r w:rsidR="00067A74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АС находит доводы З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 необоснованными.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Комиссия УФАС, руководствуясь ст. 99, 106 Закона о контрактной системе, </w:t>
      </w:r>
    </w:p>
    <w:p w:rsidR="000E2B86" w:rsidRPr="008525DD" w:rsidRDefault="000E2B86" w:rsidP="000E2B86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E2B86" w:rsidRPr="008525DD" w:rsidRDefault="000E2B86" w:rsidP="000E2B86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0E2B86" w:rsidRPr="008525DD" w:rsidRDefault="000E2B86" w:rsidP="000E2B86">
      <w:pPr>
        <w:widowControl/>
        <w:suppressAutoHyphens w:val="0"/>
        <w:autoSpaceDE w:val="0"/>
        <w:adjustRightInd w:val="0"/>
        <w:ind w:firstLine="708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0E2B86" w:rsidRPr="008525DD" w:rsidRDefault="000E2B86" w:rsidP="00067A74">
      <w:pPr>
        <w:widowControl/>
        <w:suppressAutoHyphens w:val="0"/>
        <w:autoSpaceDE w:val="0"/>
        <w:autoSpaceDN/>
        <w:adjustRightInd w:val="0"/>
        <w:ind w:left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 w:rsidRPr="008525D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Признать жалобу </w:t>
      </w:r>
      <w:r w:rsidR="008525DD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ООО «</w:t>
      </w:r>
      <w:proofErr w:type="spellStart"/>
      <w:r w:rsidR="008525DD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Эларум</w:t>
      </w:r>
      <w:proofErr w:type="spellEnd"/>
      <w:r w:rsidR="008525DD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proofErr w:type="spellStart"/>
      <w:r w:rsidR="008525DD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Фарма</w:t>
      </w:r>
      <w:proofErr w:type="spellEnd"/>
      <w:r w:rsidR="008525DD"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»</w:t>
      </w:r>
      <w:r w:rsidRPr="008525D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не</w:t>
      </w:r>
      <w:r w:rsidRPr="008525D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обоснованной.</w:t>
      </w:r>
    </w:p>
    <w:p w:rsidR="005665C0" w:rsidRPr="008525DD" w:rsidRDefault="005665C0" w:rsidP="00067A74">
      <w:pPr>
        <w:widowControl/>
        <w:suppressAutoHyphens w:val="0"/>
        <w:autoSpaceDE w:val="0"/>
        <w:autoSpaceDN/>
        <w:adjustRightInd w:val="0"/>
        <w:ind w:left="708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</w:p>
    <w:bookmarkStart w:id="0" w:name="_GoBack"/>
    <w:bookmarkEnd w:id="0"/>
    <w:p w:rsidR="000E2B86" w:rsidRPr="008525DD" w:rsidRDefault="00CD62C9" w:rsidP="00067A74">
      <w:pPr>
        <w:pStyle w:val="Standard"/>
        <w:tabs>
          <w:tab w:val="left" w:pos="2700"/>
        </w:tabs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fldChar w:fldCharType="begin"/>
      </w:r>
      <w:r>
        <w:rPr>
          <w:rFonts w:ascii="Times New Roman" w:hAnsi="Times New Roman" w:cs="Times New Roman"/>
          <w:i/>
        </w:rPr>
        <w:instrText xml:space="preserve"> HYPERLINK "consultantplus://offline/ref=0CC460F5C86122DF7154A85748F8AD913213FE8803C0DC16D129B6E83F03A021453FC9D4C56D29A512CB6459B86D048D4F874C5A4E8DBDj0M" </w:instrText>
      </w:r>
      <w:r>
        <w:rPr>
          <w:rFonts w:ascii="Times New Roman" w:hAnsi="Times New Roman" w:cs="Times New Roman"/>
          <w:i/>
        </w:rPr>
        <w:fldChar w:fldCharType="separate"/>
      </w:r>
      <w:r w:rsidR="000E2B86" w:rsidRPr="008525DD">
        <w:rPr>
          <w:rFonts w:ascii="Times New Roman" w:hAnsi="Times New Roman" w:cs="Times New Roman"/>
          <w:i/>
        </w:rPr>
        <w:t xml:space="preserve">Настоящее решение может быть обжаловано в судебном порядке </w:t>
      </w:r>
      <w:r w:rsidR="000E2B86" w:rsidRPr="008525DD">
        <w:rPr>
          <w:rFonts w:ascii="Times New Roman" w:hAnsi="Times New Roman" w:cs="Times New Roman"/>
          <w:i/>
        </w:rPr>
        <w:br/>
        <w:t>в течение трёх месяцев со дня принятия.</w:t>
      </w:r>
      <w:r>
        <w:rPr>
          <w:rFonts w:ascii="Times New Roman" w:hAnsi="Times New Roman" w:cs="Times New Roman"/>
          <w:i/>
        </w:rPr>
        <w:fldChar w:fldCharType="end"/>
      </w:r>
      <w:hyperlink r:id="rId12" w:history="1"/>
    </w:p>
    <w:p w:rsidR="00950B68" w:rsidRPr="008525DD" w:rsidRDefault="00950B68">
      <w:pPr>
        <w:rPr>
          <w:rFonts w:ascii="Times New Roman" w:hAnsi="Times New Roman" w:cs="Times New Roman"/>
        </w:rPr>
      </w:pPr>
    </w:p>
    <w:sectPr w:rsidR="00950B68" w:rsidRPr="008525DD" w:rsidSect="00796F73">
      <w:headerReference w:type="default" r:id="rId13"/>
      <w:pgSz w:w="11906" w:h="16838"/>
      <w:pgMar w:top="1134" w:right="849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2C9" w:rsidRDefault="00CD62C9" w:rsidP="000E2B86">
      <w:r>
        <w:separator/>
      </w:r>
    </w:p>
  </w:endnote>
  <w:endnote w:type="continuationSeparator" w:id="0">
    <w:p w:rsidR="00CD62C9" w:rsidRDefault="00CD62C9" w:rsidP="000E2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2C9" w:rsidRDefault="00CD62C9" w:rsidP="000E2B86">
      <w:r>
        <w:separator/>
      </w:r>
    </w:p>
  </w:footnote>
  <w:footnote w:type="continuationSeparator" w:id="0">
    <w:p w:rsidR="00CD62C9" w:rsidRDefault="00CD62C9" w:rsidP="000E2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6165920"/>
      <w:docPartObj>
        <w:docPartGallery w:val="Page Numbers (Top of Page)"/>
        <w:docPartUnique/>
      </w:docPartObj>
    </w:sdtPr>
    <w:sdtEndPr/>
    <w:sdtContent>
      <w:p w:rsidR="000E2B86" w:rsidRDefault="000E2B8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9F4">
          <w:rPr>
            <w:noProof/>
          </w:rPr>
          <w:t>8</w:t>
        </w:r>
        <w:r>
          <w:fldChar w:fldCharType="end"/>
        </w:r>
      </w:p>
    </w:sdtContent>
  </w:sdt>
  <w:p w:rsidR="000E2B86" w:rsidRDefault="000E2B8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83B"/>
    <w:rsid w:val="00067A74"/>
    <w:rsid w:val="000E2B86"/>
    <w:rsid w:val="00364C6A"/>
    <w:rsid w:val="00375BB5"/>
    <w:rsid w:val="003C6CF3"/>
    <w:rsid w:val="005665C0"/>
    <w:rsid w:val="00796F73"/>
    <w:rsid w:val="008525DD"/>
    <w:rsid w:val="008529F4"/>
    <w:rsid w:val="008A583B"/>
    <w:rsid w:val="00950B68"/>
    <w:rsid w:val="009C46A8"/>
    <w:rsid w:val="00AC5CC7"/>
    <w:rsid w:val="00CD62C9"/>
    <w:rsid w:val="00D40FF9"/>
    <w:rsid w:val="00FC3278"/>
    <w:rsid w:val="00FE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33708B-CA62-4D66-B0CC-093508A52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B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E2B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3">
    <w:name w:val="Normal (Web)"/>
    <w:basedOn w:val="a"/>
    <w:uiPriority w:val="99"/>
    <w:semiHidden/>
    <w:unhideWhenUsed/>
    <w:rsid w:val="000E2B86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western">
    <w:name w:val="western"/>
    <w:basedOn w:val="a"/>
    <w:rsid w:val="000E2B86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4">
    <w:name w:val="header"/>
    <w:basedOn w:val="a"/>
    <w:link w:val="a5"/>
    <w:uiPriority w:val="99"/>
    <w:unhideWhenUsed/>
    <w:rsid w:val="000E2B8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5">
    <w:name w:val="Верхний колонтитул Знак"/>
    <w:basedOn w:val="a0"/>
    <w:link w:val="a4"/>
    <w:uiPriority w:val="99"/>
    <w:rsid w:val="000E2B86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6">
    <w:name w:val="footer"/>
    <w:basedOn w:val="a"/>
    <w:link w:val="a7"/>
    <w:uiPriority w:val="99"/>
    <w:unhideWhenUsed/>
    <w:rsid w:val="000E2B86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7">
    <w:name w:val="Нижний колонтитул Знак"/>
    <w:basedOn w:val="a0"/>
    <w:link w:val="a6"/>
    <w:uiPriority w:val="99"/>
    <w:rsid w:val="000E2B86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8">
    <w:name w:val="Balloon Text"/>
    <w:basedOn w:val="a"/>
    <w:link w:val="a9"/>
    <w:uiPriority w:val="99"/>
    <w:semiHidden/>
    <w:unhideWhenUsed/>
    <w:rsid w:val="00067A74"/>
    <w:rPr>
      <w:rFonts w:ascii="Segoe UI" w:hAnsi="Segoe UI" w:cs="Mangal"/>
      <w:sz w:val="18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67A74"/>
    <w:rPr>
      <w:rFonts w:ascii="Segoe UI" w:eastAsia="N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jur.action360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jur.action360.ru/" TargetMode="External"/><Relationship Id="rId12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09253&amp;dst=100142&amp;field=134&amp;date=09.01.202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jur.action360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jur.action360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4100</Words>
  <Characters>23374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cp:lastPrinted>2024-01-12T14:04:00Z</cp:lastPrinted>
  <dcterms:created xsi:type="dcterms:W3CDTF">2024-01-16T14:00:00Z</dcterms:created>
  <dcterms:modified xsi:type="dcterms:W3CDTF">2024-01-16T14:00:00Z</dcterms:modified>
</cp:coreProperties>
</file>