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Layout w:type="fixed"/>
        <w:tblLook w:val="01E0" w:firstRow="1" w:lastRow="1" w:firstColumn="1" w:lastColumn="1" w:noHBand="0" w:noVBand="0"/>
      </w:tblPr>
      <w:tblGrid>
        <w:gridCol w:w="4402"/>
        <w:gridCol w:w="5096"/>
      </w:tblGrid>
      <w:tr w:rsidR="00FD0A72" w:rsidTr="00023EB4">
        <w:tc>
          <w:tcPr>
            <w:tcW w:w="4402" w:type="dxa"/>
          </w:tcPr>
          <w:p w:rsidR="00FD0A72" w:rsidRDefault="00FD0A72">
            <w:pPr>
              <w:widowControl w:val="0"/>
              <w:spacing w:line="254" w:lineRule="auto"/>
              <w:rPr>
                <w:sz w:val="26"/>
                <w:szCs w:val="26"/>
                <w:lang w:eastAsia="en-US"/>
              </w:rPr>
            </w:pPr>
          </w:p>
        </w:tc>
        <w:tc>
          <w:tcPr>
            <w:tcW w:w="5096" w:type="dxa"/>
          </w:tcPr>
          <w:p w:rsidR="00FD0A72" w:rsidRDefault="00FD0A72">
            <w:pPr>
              <w:widowControl w:val="0"/>
              <w:spacing w:line="254" w:lineRule="auto"/>
              <w:rPr>
                <w:iCs/>
                <w:sz w:val="26"/>
                <w:szCs w:val="26"/>
                <w:lang w:eastAsia="en-US"/>
              </w:rPr>
            </w:pPr>
          </w:p>
          <w:p w:rsidR="00291AA9" w:rsidRPr="00291AA9" w:rsidRDefault="00291AA9" w:rsidP="00291AA9">
            <w:pPr>
              <w:widowControl w:val="0"/>
              <w:spacing w:line="254" w:lineRule="auto"/>
              <w:rPr>
                <w:iCs/>
                <w:sz w:val="26"/>
                <w:szCs w:val="26"/>
                <w:lang w:eastAsia="en-US"/>
              </w:rPr>
            </w:pPr>
            <w:r w:rsidRPr="00291AA9">
              <w:rPr>
                <w:iCs/>
                <w:sz w:val="26"/>
                <w:szCs w:val="26"/>
                <w:lang w:eastAsia="en-US"/>
              </w:rPr>
              <w:t xml:space="preserve">СПБ ГБУЗ «Городской противотуберкулезный </w:t>
            </w:r>
          </w:p>
          <w:p w:rsidR="00291AA9" w:rsidRPr="00291AA9" w:rsidRDefault="00291AA9" w:rsidP="00291AA9">
            <w:pPr>
              <w:widowControl w:val="0"/>
              <w:spacing w:line="254" w:lineRule="auto"/>
              <w:rPr>
                <w:iCs/>
                <w:sz w:val="26"/>
                <w:szCs w:val="26"/>
                <w:lang w:eastAsia="en-US"/>
              </w:rPr>
            </w:pPr>
            <w:r w:rsidRPr="00291AA9">
              <w:rPr>
                <w:iCs/>
                <w:sz w:val="26"/>
                <w:szCs w:val="26"/>
                <w:lang w:eastAsia="en-US"/>
              </w:rPr>
              <w:t>диспансер»</w:t>
            </w:r>
          </w:p>
          <w:p w:rsidR="00291AA9" w:rsidRPr="00291AA9" w:rsidRDefault="00291AA9" w:rsidP="00291AA9">
            <w:pPr>
              <w:widowControl w:val="0"/>
              <w:spacing w:line="254" w:lineRule="auto"/>
              <w:rPr>
                <w:iCs/>
                <w:sz w:val="26"/>
                <w:szCs w:val="26"/>
                <w:lang w:eastAsia="en-US"/>
              </w:rPr>
            </w:pPr>
            <w:r w:rsidRPr="00291AA9">
              <w:rPr>
                <w:iCs/>
                <w:sz w:val="26"/>
                <w:szCs w:val="26"/>
                <w:lang w:eastAsia="en-US"/>
              </w:rPr>
              <w:t>ул. Звёздная, д. 12, лит. А</w:t>
            </w:r>
          </w:p>
          <w:p w:rsidR="00291AA9" w:rsidRPr="00291AA9" w:rsidRDefault="00291AA9" w:rsidP="00291AA9">
            <w:pPr>
              <w:widowControl w:val="0"/>
              <w:spacing w:line="254" w:lineRule="auto"/>
              <w:rPr>
                <w:iCs/>
                <w:sz w:val="26"/>
                <w:szCs w:val="26"/>
                <w:lang w:eastAsia="en-US"/>
              </w:rPr>
            </w:pPr>
            <w:r w:rsidRPr="00291AA9">
              <w:rPr>
                <w:iCs/>
                <w:sz w:val="26"/>
                <w:szCs w:val="26"/>
                <w:lang w:eastAsia="en-US"/>
              </w:rPr>
              <w:t>Санкт-Петербург, 196142</w:t>
            </w:r>
          </w:p>
          <w:p w:rsidR="00291AA9" w:rsidRPr="00291AA9" w:rsidRDefault="00291AA9" w:rsidP="00291AA9">
            <w:pPr>
              <w:widowControl w:val="0"/>
              <w:spacing w:line="254" w:lineRule="auto"/>
              <w:rPr>
                <w:iCs/>
                <w:sz w:val="26"/>
                <w:szCs w:val="26"/>
                <w:lang w:eastAsia="en-US"/>
              </w:rPr>
            </w:pPr>
            <w:r w:rsidRPr="00291AA9">
              <w:rPr>
                <w:iCs/>
                <w:sz w:val="26"/>
                <w:szCs w:val="26"/>
                <w:lang w:eastAsia="en-US"/>
              </w:rPr>
              <w:t>Эл. почта: gorptd.zak@zdrav.spb.ru</w:t>
            </w:r>
          </w:p>
          <w:p w:rsidR="00291AA9" w:rsidRPr="00291AA9" w:rsidRDefault="00291AA9" w:rsidP="00291AA9">
            <w:pPr>
              <w:widowControl w:val="0"/>
              <w:spacing w:line="254" w:lineRule="auto"/>
              <w:rPr>
                <w:iCs/>
                <w:sz w:val="26"/>
                <w:szCs w:val="26"/>
                <w:lang w:eastAsia="en-US"/>
              </w:rPr>
            </w:pPr>
          </w:p>
          <w:p w:rsidR="00291AA9" w:rsidRPr="00291AA9" w:rsidRDefault="00291AA9" w:rsidP="00291AA9">
            <w:pPr>
              <w:widowControl w:val="0"/>
              <w:spacing w:line="254" w:lineRule="auto"/>
              <w:rPr>
                <w:iCs/>
                <w:sz w:val="26"/>
                <w:szCs w:val="26"/>
                <w:lang w:eastAsia="en-US"/>
              </w:rPr>
            </w:pPr>
            <w:r w:rsidRPr="00291AA9">
              <w:rPr>
                <w:iCs/>
                <w:sz w:val="26"/>
                <w:szCs w:val="26"/>
                <w:lang w:eastAsia="en-US"/>
              </w:rPr>
              <w:t>ООО «РТС-тендер»</w:t>
            </w:r>
          </w:p>
          <w:p w:rsidR="00291AA9" w:rsidRPr="00291AA9" w:rsidRDefault="00291AA9" w:rsidP="00291AA9">
            <w:pPr>
              <w:widowControl w:val="0"/>
              <w:spacing w:line="254" w:lineRule="auto"/>
              <w:rPr>
                <w:iCs/>
                <w:sz w:val="26"/>
                <w:szCs w:val="26"/>
                <w:lang w:eastAsia="en-US"/>
              </w:rPr>
            </w:pPr>
            <w:r w:rsidRPr="00291AA9">
              <w:rPr>
                <w:iCs/>
                <w:sz w:val="26"/>
                <w:szCs w:val="26"/>
                <w:lang w:eastAsia="en-US"/>
              </w:rPr>
              <w:t>наб. Тараса Шевченко, д. 23А,</w:t>
            </w:r>
          </w:p>
          <w:p w:rsidR="00291AA9" w:rsidRPr="00291AA9" w:rsidRDefault="00291AA9" w:rsidP="00291AA9">
            <w:pPr>
              <w:widowControl w:val="0"/>
              <w:spacing w:line="254" w:lineRule="auto"/>
              <w:rPr>
                <w:iCs/>
                <w:sz w:val="26"/>
                <w:szCs w:val="26"/>
                <w:lang w:eastAsia="en-US"/>
              </w:rPr>
            </w:pPr>
            <w:r w:rsidRPr="00291AA9">
              <w:rPr>
                <w:iCs/>
                <w:sz w:val="26"/>
                <w:szCs w:val="26"/>
                <w:lang w:eastAsia="en-US"/>
              </w:rPr>
              <w:t>Москва, 121151</w:t>
            </w:r>
          </w:p>
          <w:p w:rsidR="00291AA9" w:rsidRPr="00291AA9" w:rsidRDefault="00291AA9" w:rsidP="00291AA9">
            <w:pPr>
              <w:widowControl w:val="0"/>
              <w:spacing w:line="254" w:lineRule="auto"/>
              <w:rPr>
                <w:iCs/>
                <w:sz w:val="26"/>
                <w:szCs w:val="26"/>
                <w:lang w:eastAsia="en-US"/>
              </w:rPr>
            </w:pPr>
            <w:r w:rsidRPr="00291AA9">
              <w:rPr>
                <w:iCs/>
                <w:sz w:val="26"/>
                <w:szCs w:val="26"/>
                <w:lang w:eastAsia="en-US"/>
              </w:rPr>
              <w:t>факс: +7 (495) 733-95-19</w:t>
            </w:r>
          </w:p>
          <w:p w:rsidR="00291AA9" w:rsidRPr="00291AA9" w:rsidRDefault="00291AA9" w:rsidP="00291AA9">
            <w:pPr>
              <w:widowControl w:val="0"/>
              <w:spacing w:line="254" w:lineRule="auto"/>
              <w:rPr>
                <w:iCs/>
                <w:sz w:val="26"/>
                <w:szCs w:val="26"/>
                <w:lang w:eastAsia="en-US"/>
              </w:rPr>
            </w:pPr>
          </w:p>
          <w:p w:rsidR="00291AA9" w:rsidRPr="00291AA9" w:rsidRDefault="00291AA9" w:rsidP="00291AA9">
            <w:pPr>
              <w:widowControl w:val="0"/>
              <w:spacing w:line="254" w:lineRule="auto"/>
              <w:rPr>
                <w:iCs/>
                <w:sz w:val="26"/>
                <w:szCs w:val="26"/>
                <w:lang w:eastAsia="en-US"/>
              </w:rPr>
            </w:pPr>
            <w:r w:rsidRPr="00291AA9">
              <w:rPr>
                <w:iCs/>
                <w:sz w:val="26"/>
                <w:szCs w:val="26"/>
                <w:lang w:eastAsia="en-US"/>
              </w:rPr>
              <w:t>ООО «ЭЦ «Профстройпроект»</w:t>
            </w:r>
          </w:p>
          <w:p w:rsidR="00291AA9" w:rsidRPr="00291AA9" w:rsidRDefault="00291AA9" w:rsidP="00291AA9">
            <w:pPr>
              <w:widowControl w:val="0"/>
              <w:spacing w:line="254" w:lineRule="auto"/>
              <w:rPr>
                <w:iCs/>
                <w:sz w:val="26"/>
                <w:szCs w:val="26"/>
                <w:lang w:eastAsia="en-US"/>
              </w:rPr>
            </w:pPr>
            <w:r w:rsidRPr="00291AA9">
              <w:rPr>
                <w:iCs/>
                <w:sz w:val="26"/>
                <w:szCs w:val="26"/>
                <w:lang w:eastAsia="en-US"/>
              </w:rPr>
              <w:t>ул. 5-я Советская, д. 38, лит. А</w:t>
            </w:r>
          </w:p>
          <w:p w:rsidR="00291AA9" w:rsidRPr="00291AA9" w:rsidRDefault="00291AA9" w:rsidP="00291AA9">
            <w:pPr>
              <w:widowControl w:val="0"/>
              <w:spacing w:line="254" w:lineRule="auto"/>
              <w:rPr>
                <w:iCs/>
                <w:sz w:val="26"/>
                <w:szCs w:val="26"/>
                <w:lang w:eastAsia="en-US"/>
              </w:rPr>
            </w:pPr>
            <w:r w:rsidRPr="00291AA9">
              <w:rPr>
                <w:iCs/>
                <w:sz w:val="26"/>
                <w:szCs w:val="26"/>
                <w:lang w:eastAsia="en-US"/>
              </w:rPr>
              <w:t>Санкт-Петербург, 191144</w:t>
            </w:r>
          </w:p>
          <w:p w:rsidR="00FD0A72" w:rsidRDefault="00291AA9" w:rsidP="00291AA9">
            <w:pPr>
              <w:widowControl w:val="0"/>
              <w:spacing w:line="254" w:lineRule="auto"/>
              <w:rPr>
                <w:iCs/>
                <w:sz w:val="26"/>
                <w:szCs w:val="26"/>
                <w:lang w:eastAsia="en-US"/>
              </w:rPr>
            </w:pPr>
            <w:r w:rsidRPr="00291AA9">
              <w:rPr>
                <w:iCs/>
                <w:sz w:val="26"/>
                <w:szCs w:val="26"/>
                <w:lang w:eastAsia="en-US"/>
              </w:rPr>
              <w:t>Эл. почта: spb@ecpsp.ch</w:t>
            </w:r>
          </w:p>
        </w:tc>
      </w:tr>
      <w:tr w:rsidR="00FD0A72" w:rsidTr="00023EB4">
        <w:tc>
          <w:tcPr>
            <w:tcW w:w="4402" w:type="dxa"/>
          </w:tcPr>
          <w:p w:rsidR="00FD0A72" w:rsidRDefault="00FD0A72">
            <w:pPr>
              <w:widowControl w:val="0"/>
              <w:spacing w:line="254" w:lineRule="auto"/>
              <w:ind w:right="-908"/>
              <w:rPr>
                <w:sz w:val="26"/>
                <w:szCs w:val="26"/>
                <w:lang w:eastAsia="en-US"/>
              </w:rPr>
            </w:pPr>
          </w:p>
        </w:tc>
        <w:tc>
          <w:tcPr>
            <w:tcW w:w="5096" w:type="dxa"/>
          </w:tcPr>
          <w:p w:rsidR="00FD0A72" w:rsidRDefault="00FD0A72">
            <w:pPr>
              <w:widowControl w:val="0"/>
            </w:pPr>
          </w:p>
          <w:p w:rsidR="000C30D0" w:rsidRDefault="000C30D0">
            <w:pPr>
              <w:widowControl w:val="0"/>
            </w:pPr>
          </w:p>
          <w:p w:rsidR="000C30D0" w:rsidRDefault="000C30D0">
            <w:pPr>
              <w:widowControl w:val="0"/>
            </w:pPr>
          </w:p>
          <w:p w:rsidR="000C30D0" w:rsidRDefault="000C30D0">
            <w:pPr>
              <w:widowControl w:val="0"/>
            </w:pPr>
          </w:p>
          <w:p w:rsidR="000C30D0" w:rsidRDefault="000C30D0">
            <w:pPr>
              <w:widowControl w:val="0"/>
            </w:pPr>
          </w:p>
          <w:p w:rsidR="000C30D0" w:rsidRDefault="000C30D0">
            <w:pPr>
              <w:widowControl w:val="0"/>
            </w:pPr>
          </w:p>
          <w:p w:rsidR="000C30D0" w:rsidRDefault="000C30D0">
            <w:pPr>
              <w:widowControl w:val="0"/>
            </w:pPr>
          </w:p>
          <w:p w:rsidR="000C30D0" w:rsidRDefault="000C30D0">
            <w:pPr>
              <w:widowControl w:val="0"/>
            </w:pPr>
          </w:p>
          <w:p w:rsidR="000C30D0" w:rsidRDefault="000C30D0">
            <w:pPr>
              <w:widowControl w:val="0"/>
            </w:pPr>
          </w:p>
          <w:p w:rsidR="000C30D0" w:rsidRDefault="000C30D0">
            <w:pPr>
              <w:widowControl w:val="0"/>
            </w:pPr>
          </w:p>
          <w:p w:rsidR="000C30D0" w:rsidRDefault="000C30D0">
            <w:pPr>
              <w:widowControl w:val="0"/>
            </w:pPr>
          </w:p>
          <w:p w:rsidR="000C30D0" w:rsidRDefault="000C30D0">
            <w:pPr>
              <w:widowControl w:val="0"/>
            </w:pPr>
          </w:p>
          <w:p w:rsidR="000C30D0" w:rsidRDefault="000C30D0">
            <w:pPr>
              <w:widowControl w:val="0"/>
            </w:pPr>
          </w:p>
        </w:tc>
      </w:tr>
      <w:tr w:rsidR="00FD0A72" w:rsidTr="00023EB4">
        <w:trPr>
          <w:trHeight w:val="80"/>
        </w:trPr>
        <w:tc>
          <w:tcPr>
            <w:tcW w:w="4402" w:type="dxa"/>
          </w:tcPr>
          <w:p w:rsidR="00FD0A72" w:rsidRDefault="00FD0A72">
            <w:pPr>
              <w:widowControl w:val="0"/>
              <w:spacing w:line="254" w:lineRule="auto"/>
              <w:ind w:right="-908"/>
              <w:rPr>
                <w:sz w:val="26"/>
                <w:szCs w:val="26"/>
                <w:lang w:eastAsia="en-US"/>
              </w:rPr>
            </w:pPr>
          </w:p>
        </w:tc>
        <w:tc>
          <w:tcPr>
            <w:tcW w:w="5096" w:type="dxa"/>
          </w:tcPr>
          <w:p w:rsidR="00023EB4" w:rsidRDefault="00023EB4">
            <w:pPr>
              <w:widowControl w:val="0"/>
            </w:pPr>
          </w:p>
        </w:tc>
      </w:tr>
    </w:tbl>
    <w:p w:rsidR="00FD0A72" w:rsidRDefault="007B1929">
      <w:pPr>
        <w:jc w:val="center"/>
        <w:rPr>
          <w:b/>
          <w:sz w:val="26"/>
          <w:szCs w:val="26"/>
        </w:rPr>
      </w:pPr>
      <w:r>
        <w:rPr>
          <w:b/>
          <w:sz w:val="26"/>
          <w:szCs w:val="26"/>
        </w:rPr>
        <w:t>РЕШЕНИЕ</w:t>
      </w:r>
    </w:p>
    <w:p w:rsidR="00FD0A72" w:rsidRDefault="007B1929">
      <w:pPr>
        <w:jc w:val="center"/>
        <w:rPr>
          <w:sz w:val="26"/>
          <w:szCs w:val="26"/>
        </w:rPr>
      </w:pPr>
      <w:r>
        <w:rPr>
          <w:sz w:val="26"/>
          <w:szCs w:val="26"/>
        </w:rPr>
        <w:t xml:space="preserve">по делу </w:t>
      </w:r>
      <w:r>
        <w:rPr>
          <w:b/>
          <w:sz w:val="26"/>
          <w:szCs w:val="26"/>
        </w:rPr>
        <w:t xml:space="preserve">№ </w:t>
      </w:r>
      <w:bookmarkStart w:id="0" w:name="_Hlk23889619"/>
      <w:r>
        <w:rPr>
          <w:b/>
          <w:sz w:val="26"/>
          <w:szCs w:val="26"/>
        </w:rPr>
        <w:t>44-</w:t>
      </w:r>
      <w:r w:rsidR="00291AA9">
        <w:rPr>
          <w:b/>
          <w:sz w:val="26"/>
          <w:szCs w:val="26"/>
        </w:rPr>
        <w:t>5361</w:t>
      </w:r>
      <w:r>
        <w:rPr>
          <w:b/>
          <w:sz w:val="26"/>
          <w:szCs w:val="26"/>
        </w:rPr>
        <w:t>/</w:t>
      </w:r>
      <w:bookmarkEnd w:id="0"/>
      <w:r>
        <w:rPr>
          <w:b/>
          <w:sz w:val="26"/>
          <w:szCs w:val="26"/>
        </w:rPr>
        <w:t>2</w:t>
      </w:r>
      <w:r w:rsidR="000F688D" w:rsidRPr="000F688D">
        <w:rPr>
          <w:b/>
          <w:sz w:val="26"/>
          <w:szCs w:val="26"/>
        </w:rPr>
        <w:t>3</w:t>
      </w:r>
      <w:r>
        <w:rPr>
          <w:b/>
          <w:sz w:val="26"/>
          <w:szCs w:val="26"/>
        </w:rPr>
        <w:t xml:space="preserve"> </w:t>
      </w:r>
      <w:r>
        <w:rPr>
          <w:sz w:val="26"/>
          <w:szCs w:val="26"/>
        </w:rPr>
        <w:t>о нарушении законодательства о контрактной системе</w:t>
      </w:r>
    </w:p>
    <w:p w:rsidR="00FD0A72" w:rsidRDefault="00FD0A72">
      <w:pPr>
        <w:ind w:firstLine="540"/>
        <w:jc w:val="both"/>
        <w:rPr>
          <w:sz w:val="26"/>
          <w:szCs w:val="26"/>
        </w:rPr>
      </w:pPr>
    </w:p>
    <w:p w:rsidR="00FD0A72" w:rsidRDefault="00291AA9">
      <w:pPr>
        <w:tabs>
          <w:tab w:val="left" w:pos="0"/>
        </w:tabs>
        <w:jc w:val="both"/>
        <w:rPr>
          <w:sz w:val="26"/>
          <w:szCs w:val="26"/>
        </w:rPr>
      </w:pPr>
      <w:r>
        <w:rPr>
          <w:sz w:val="26"/>
          <w:szCs w:val="26"/>
        </w:rPr>
        <w:t>13</w:t>
      </w:r>
      <w:r w:rsidR="007B1929">
        <w:rPr>
          <w:sz w:val="26"/>
          <w:szCs w:val="26"/>
        </w:rPr>
        <w:t>.</w:t>
      </w:r>
      <w:r w:rsidR="00BA0932" w:rsidRPr="00E12BC2">
        <w:rPr>
          <w:sz w:val="26"/>
          <w:szCs w:val="26"/>
        </w:rPr>
        <w:t>1</w:t>
      </w:r>
      <w:r>
        <w:rPr>
          <w:sz w:val="26"/>
          <w:szCs w:val="26"/>
        </w:rPr>
        <w:t>2</w:t>
      </w:r>
      <w:r w:rsidR="000C30D0">
        <w:rPr>
          <w:sz w:val="26"/>
          <w:szCs w:val="26"/>
        </w:rPr>
        <w:t>.</w:t>
      </w:r>
      <w:r w:rsidR="007B1929">
        <w:rPr>
          <w:sz w:val="26"/>
          <w:szCs w:val="26"/>
        </w:rPr>
        <w:t>202</w:t>
      </w:r>
      <w:r w:rsidR="000F688D" w:rsidRPr="00906529">
        <w:rPr>
          <w:sz w:val="26"/>
          <w:szCs w:val="26"/>
        </w:rPr>
        <w:t>3</w:t>
      </w:r>
      <w:r w:rsidR="007B1929">
        <w:rPr>
          <w:sz w:val="26"/>
          <w:szCs w:val="26"/>
        </w:rPr>
        <w:t xml:space="preserve">                                                                                             </w:t>
      </w:r>
      <w:r w:rsidR="00C02249">
        <w:rPr>
          <w:sz w:val="26"/>
          <w:szCs w:val="26"/>
        </w:rPr>
        <w:t xml:space="preserve">   </w:t>
      </w:r>
      <w:r w:rsidR="007412F0">
        <w:rPr>
          <w:sz w:val="26"/>
          <w:szCs w:val="26"/>
        </w:rPr>
        <w:t xml:space="preserve"> </w:t>
      </w:r>
      <w:r w:rsidR="00C02249">
        <w:rPr>
          <w:sz w:val="26"/>
          <w:szCs w:val="26"/>
        </w:rPr>
        <w:t xml:space="preserve"> </w:t>
      </w:r>
      <w:r w:rsidR="007B1929">
        <w:rPr>
          <w:sz w:val="26"/>
          <w:szCs w:val="26"/>
        </w:rPr>
        <w:t xml:space="preserve">   Санкт-Петербург</w:t>
      </w:r>
    </w:p>
    <w:p w:rsidR="00FD0A72" w:rsidRDefault="00FD0A72">
      <w:pPr>
        <w:tabs>
          <w:tab w:val="left" w:pos="0"/>
        </w:tabs>
        <w:jc w:val="both"/>
        <w:rPr>
          <w:sz w:val="26"/>
          <w:szCs w:val="26"/>
        </w:rPr>
      </w:pPr>
    </w:p>
    <w:p w:rsidR="00FD0A72" w:rsidRDefault="007B1929">
      <w:pPr>
        <w:tabs>
          <w:tab w:val="left" w:pos="0"/>
        </w:tabs>
        <w:jc w:val="both"/>
        <w:rPr>
          <w:sz w:val="26"/>
          <w:szCs w:val="26"/>
        </w:rPr>
      </w:pPr>
      <w:r>
        <w:rPr>
          <w:sz w:val="26"/>
          <w:szCs w:val="26"/>
        </w:rPr>
        <w:tab/>
        <w:t>Комиссия Санкт-Петербургского УФАС России по контролю в сфере закупок (далее – Комиссия УФАС) в составе:</w:t>
      </w:r>
    </w:p>
    <w:p w:rsidR="00FD0A72" w:rsidRDefault="007B1929" w:rsidP="009D735A">
      <w:pPr>
        <w:tabs>
          <w:tab w:val="left" w:pos="0"/>
        </w:tabs>
        <w:jc w:val="both"/>
        <w:rPr>
          <w:sz w:val="26"/>
          <w:szCs w:val="26"/>
        </w:rPr>
      </w:pPr>
      <w:r>
        <w:rPr>
          <w:sz w:val="26"/>
          <w:szCs w:val="26"/>
        </w:rPr>
        <w:tab/>
      </w:r>
    </w:p>
    <w:p w:rsidR="000C30D0" w:rsidRDefault="007B1929" w:rsidP="000C30D0">
      <w:pPr>
        <w:ind w:firstLine="709"/>
        <w:jc w:val="both"/>
        <w:rPr>
          <w:sz w:val="26"/>
          <w:szCs w:val="26"/>
        </w:rPr>
      </w:pPr>
      <w:r>
        <w:rPr>
          <w:sz w:val="26"/>
          <w:szCs w:val="26"/>
        </w:rPr>
        <w:t>при участии представителей:</w:t>
      </w:r>
    </w:p>
    <w:p w:rsidR="0047084D" w:rsidRPr="00291AA9" w:rsidRDefault="00291AA9" w:rsidP="00291AA9">
      <w:pPr>
        <w:ind w:firstLine="709"/>
        <w:jc w:val="both"/>
        <w:rPr>
          <w:iCs/>
          <w:sz w:val="26"/>
          <w:szCs w:val="26"/>
          <w:lang w:eastAsia="en-US"/>
        </w:rPr>
      </w:pPr>
      <w:r w:rsidRPr="00291AA9">
        <w:rPr>
          <w:iCs/>
          <w:sz w:val="26"/>
          <w:szCs w:val="26"/>
          <w:lang w:eastAsia="en-US"/>
        </w:rPr>
        <w:t>СПБ ГБУЗ «</w:t>
      </w:r>
      <w:r>
        <w:rPr>
          <w:iCs/>
          <w:sz w:val="26"/>
          <w:szCs w:val="26"/>
          <w:lang w:eastAsia="en-US"/>
        </w:rPr>
        <w:t xml:space="preserve">Городской противотуберкулезный </w:t>
      </w:r>
      <w:r w:rsidRPr="00291AA9">
        <w:rPr>
          <w:iCs/>
          <w:sz w:val="26"/>
          <w:szCs w:val="26"/>
          <w:lang w:eastAsia="en-US"/>
        </w:rPr>
        <w:t>диспансер»</w:t>
      </w:r>
      <w:r w:rsidR="007B1929">
        <w:rPr>
          <w:iCs/>
          <w:sz w:val="26"/>
          <w:szCs w:val="26"/>
        </w:rPr>
        <w:t xml:space="preserve"> </w:t>
      </w:r>
      <w:r w:rsidR="007B1929">
        <w:rPr>
          <w:sz w:val="26"/>
          <w:szCs w:val="26"/>
        </w:rPr>
        <w:t xml:space="preserve">(далее – </w:t>
      </w:r>
      <w:r w:rsidR="00BA0932">
        <w:rPr>
          <w:sz w:val="26"/>
          <w:szCs w:val="26"/>
        </w:rPr>
        <w:t>Заказчик</w:t>
      </w:r>
      <w:r w:rsidR="007B1929">
        <w:rPr>
          <w:sz w:val="26"/>
          <w:szCs w:val="26"/>
        </w:rPr>
        <w:t>):</w:t>
      </w:r>
      <w:r w:rsidR="0047084D">
        <w:rPr>
          <w:sz w:val="26"/>
          <w:szCs w:val="26"/>
        </w:rPr>
        <w:t>;</w:t>
      </w:r>
    </w:p>
    <w:p w:rsidR="00FD0A72" w:rsidRPr="00C02249" w:rsidRDefault="00291AA9" w:rsidP="0047084D">
      <w:pPr>
        <w:ind w:firstLine="709"/>
        <w:jc w:val="both"/>
        <w:rPr>
          <w:iCs/>
          <w:sz w:val="26"/>
          <w:szCs w:val="26"/>
        </w:rPr>
      </w:pPr>
      <w:r w:rsidRPr="00291AA9">
        <w:rPr>
          <w:sz w:val="26"/>
          <w:szCs w:val="26"/>
        </w:rPr>
        <w:t>ООО «ЭЦ «Профстройпроект»</w:t>
      </w:r>
      <w:r w:rsidR="00F97D69">
        <w:rPr>
          <w:sz w:val="26"/>
          <w:szCs w:val="26"/>
        </w:rPr>
        <w:t xml:space="preserve"> (далее – Заявитель)</w:t>
      </w:r>
      <w:r>
        <w:rPr>
          <w:sz w:val="26"/>
          <w:szCs w:val="26"/>
        </w:rPr>
        <w:t>,</w:t>
      </w:r>
    </w:p>
    <w:p w:rsidR="00FD0A72" w:rsidRDefault="007B1929" w:rsidP="000C30D0">
      <w:pPr>
        <w:ind w:firstLine="709"/>
        <w:jc w:val="both"/>
        <w:rPr>
          <w:bCs/>
          <w:sz w:val="26"/>
          <w:szCs w:val="26"/>
        </w:rPr>
      </w:pPr>
      <w:r>
        <w:rPr>
          <w:sz w:val="26"/>
          <w:szCs w:val="26"/>
        </w:rPr>
        <w:t>рассмотрев посредством системы видеоконференцсвязи жалобу Заявителя (</w:t>
      </w:r>
      <w:r w:rsidR="00291AA9" w:rsidRPr="00291AA9">
        <w:rPr>
          <w:sz w:val="26"/>
          <w:szCs w:val="26"/>
        </w:rPr>
        <w:t>вх. № 32142-ЭП/23 от 07.12.2023</w:t>
      </w:r>
      <w:r>
        <w:rPr>
          <w:sz w:val="26"/>
          <w:szCs w:val="26"/>
        </w:rPr>
        <w:t xml:space="preserve">) на действия Заказчика </w:t>
      </w:r>
      <w:r w:rsidR="00906529" w:rsidRPr="00906529">
        <w:rPr>
          <w:sz w:val="26"/>
          <w:szCs w:val="26"/>
        </w:rPr>
        <w:t xml:space="preserve">при определении (подрядчика, исполнителя) </w:t>
      </w:r>
      <w:r w:rsidR="00291AA9" w:rsidRPr="00291AA9">
        <w:rPr>
          <w:sz w:val="26"/>
          <w:szCs w:val="26"/>
        </w:rPr>
        <w:t xml:space="preserve">путем проведения открытого конкурса в электронной форме на выполнение работ по текущему ремонту помещений СПб ГБУЗ «Городской противотуберкулёзный диспансер» по адресу: г. Санкт-Петербург, ул. </w:t>
      </w:r>
      <w:r w:rsidR="00291AA9" w:rsidRPr="00291AA9">
        <w:rPr>
          <w:sz w:val="26"/>
          <w:szCs w:val="26"/>
        </w:rPr>
        <w:lastRenderedPageBreak/>
        <w:t>Звёздная, д. 12 (извещение № 0372200068423000135)</w:t>
      </w:r>
      <w:r w:rsidR="000F688D" w:rsidRPr="000F688D">
        <w:rPr>
          <w:sz w:val="26"/>
          <w:szCs w:val="26"/>
        </w:rPr>
        <w:t xml:space="preserve"> </w:t>
      </w:r>
      <w:r>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FD0A72" w:rsidRDefault="00FD0A72">
      <w:pPr>
        <w:jc w:val="center"/>
        <w:rPr>
          <w:sz w:val="26"/>
          <w:szCs w:val="26"/>
        </w:rPr>
      </w:pPr>
    </w:p>
    <w:p w:rsidR="00FD0A72" w:rsidRDefault="007B1929">
      <w:pPr>
        <w:jc w:val="center"/>
        <w:rPr>
          <w:b/>
          <w:sz w:val="26"/>
          <w:szCs w:val="26"/>
        </w:rPr>
      </w:pPr>
      <w:r>
        <w:rPr>
          <w:b/>
          <w:sz w:val="26"/>
          <w:szCs w:val="26"/>
        </w:rPr>
        <w:t>УСТАНОВИЛА:</w:t>
      </w:r>
    </w:p>
    <w:p w:rsidR="00FD0A72" w:rsidRDefault="00FD0A72">
      <w:pPr>
        <w:jc w:val="center"/>
        <w:outlineLvl w:val="0"/>
        <w:rPr>
          <w:sz w:val="26"/>
          <w:szCs w:val="26"/>
        </w:rPr>
      </w:pPr>
    </w:p>
    <w:p w:rsidR="00FD0A72" w:rsidRDefault="007B1929" w:rsidP="006840F5">
      <w:pPr>
        <w:ind w:right="-5" w:firstLine="567"/>
        <w:jc w:val="both"/>
        <w:rPr>
          <w:sz w:val="26"/>
          <w:szCs w:val="26"/>
        </w:rPr>
      </w:pPr>
      <w:r>
        <w:rPr>
          <w:sz w:val="26"/>
          <w:szCs w:val="26"/>
        </w:rPr>
        <w:t xml:space="preserve">Извещение о проведении конкурса размещено </w:t>
      </w:r>
      <w:r w:rsidR="00291AA9">
        <w:rPr>
          <w:sz w:val="26"/>
          <w:szCs w:val="26"/>
        </w:rPr>
        <w:t>27</w:t>
      </w:r>
      <w:r>
        <w:rPr>
          <w:sz w:val="26"/>
          <w:szCs w:val="26"/>
        </w:rPr>
        <w:t>.</w:t>
      </w:r>
      <w:r w:rsidR="00BA0932">
        <w:rPr>
          <w:sz w:val="26"/>
          <w:szCs w:val="26"/>
        </w:rPr>
        <w:t>10</w:t>
      </w:r>
      <w:r>
        <w:rPr>
          <w:sz w:val="26"/>
          <w:szCs w:val="26"/>
        </w:rPr>
        <w:t>.202</w:t>
      </w:r>
      <w:r w:rsidR="000F688D">
        <w:rPr>
          <w:sz w:val="26"/>
          <w:szCs w:val="26"/>
        </w:rPr>
        <w:t>3</w:t>
      </w:r>
      <w:r>
        <w:rPr>
          <w:sz w:val="26"/>
          <w:szCs w:val="26"/>
        </w:rPr>
        <w:t xml:space="preserve"> на Официальном сайте Единой информационной системы в сфере закупок www.zakupki.gov.ru, номер извещения </w:t>
      </w:r>
      <w:r w:rsidR="00291AA9" w:rsidRPr="00291AA9">
        <w:rPr>
          <w:sz w:val="26"/>
          <w:szCs w:val="26"/>
        </w:rPr>
        <w:t>0372200068423000135</w:t>
      </w:r>
      <w:r>
        <w:rPr>
          <w:sz w:val="26"/>
          <w:szCs w:val="26"/>
        </w:rPr>
        <w:t xml:space="preserve">. Начальная (максимальная) цена контракта – </w:t>
      </w:r>
      <w:r w:rsidR="00291AA9" w:rsidRPr="00291AA9">
        <w:rPr>
          <w:sz w:val="26"/>
          <w:szCs w:val="26"/>
        </w:rPr>
        <w:t>4 924 699,</w:t>
      </w:r>
      <w:r w:rsidR="00291AA9">
        <w:rPr>
          <w:sz w:val="26"/>
          <w:szCs w:val="26"/>
        </w:rPr>
        <w:t xml:space="preserve"> </w:t>
      </w:r>
      <w:r w:rsidR="00291AA9" w:rsidRPr="00291AA9">
        <w:rPr>
          <w:sz w:val="26"/>
          <w:szCs w:val="26"/>
        </w:rPr>
        <w:t>15</w:t>
      </w:r>
      <w:r w:rsidR="00BA0932">
        <w:rPr>
          <w:sz w:val="26"/>
          <w:szCs w:val="26"/>
        </w:rPr>
        <w:t xml:space="preserve"> </w:t>
      </w:r>
      <w:r>
        <w:rPr>
          <w:sz w:val="26"/>
          <w:szCs w:val="26"/>
        </w:rPr>
        <w:t>рублей.</w:t>
      </w:r>
    </w:p>
    <w:p w:rsidR="00FD0A72" w:rsidRDefault="007B1929" w:rsidP="006840F5">
      <w:pPr>
        <w:ind w:right="-5" w:firstLine="567"/>
        <w:jc w:val="both"/>
        <w:rPr>
          <w:sz w:val="26"/>
          <w:szCs w:val="26"/>
        </w:rPr>
      </w:pPr>
      <w:r>
        <w:rPr>
          <w:sz w:val="26"/>
          <w:szCs w:val="26"/>
        </w:rPr>
        <w:t>В жалобе Заявитель указал на неправомерные действия конкурсной комиссии Заказчика, по основаниям, изложенным в жалобе.</w:t>
      </w:r>
    </w:p>
    <w:p w:rsidR="00FD0A72" w:rsidRDefault="007B1929" w:rsidP="006840F5">
      <w:pPr>
        <w:ind w:right="-5" w:firstLine="567"/>
        <w:jc w:val="both"/>
        <w:rPr>
          <w:sz w:val="26"/>
          <w:szCs w:val="26"/>
        </w:rPr>
      </w:pPr>
      <w:r>
        <w:rPr>
          <w:sz w:val="26"/>
          <w:szCs w:val="26"/>
        </w:rPr>
        <w:t>Информация, изложенная в жалобе, представленные документы подтверждают следующие обстоятельства:</w:t>
      </w:r>
    </w:p>
    <w:p w:rsidR="00291AA9" w:rsidRDefault="00291AA9" w:rsidP="00291AA9">
      <w:pPr>
        <w:ind w:firstLine="567"/>
        <w:jc w:val="both"/>
        <w:rPr>
          <w:sz w:val="26"/>
          <w:szCs w:val="26"/>
        </w:rPr>
      </w:pPr>
      <w:r>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91AA9" w:rsidRDefault="00291AA9" w:rsidP="00291AA9">
      <w:pPr>
        <w:ind w:firstLine="567"/>
        <w:jc w:val="both"/>
        <w:rPr>
          <w:sz w:val="26"/>
          <w:szCs w:val="26"/>
        </w:rPr>
      </w:pPr>
      <w:r>
        <w:rPr>
          <w:sz w:val="26"/>
          <w:szCs w:val="26"/>
        </w:rPr>
        <w:t>В соответствии с ч. 1 ст. 24 Закона о контрактной системе з</w:t>
      </w:r>
      <w:r w:rsidRPr="006840F5">
        <w:rPr>
          <w:sz w:val="26"/>
          <w:szCs w:val="26"/>
        </w:rPr>
        <w:t>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291AA9" w:rsidRPr="006840F5" w:rsidRDefault="00291AA9" w:rsidP="00291AA9">
      <w:pPr>
        <w:ind w:firstLine="567"/>
        <w:jc w:val="both"/>
        <w:rPr>
          <w:sz w:val="26"/>
          <w:szCs w:val="26"/>
        </w:rPr>
      </w:pPr>
      <w:r>
        <w:rPr>
          <w:sz w:val="26"/>
          <w:szCs w:val="26"/>
        </w:rPr>
        <w:t>В соответствии с ч. 2 ст. 24 Закона о контрактной системе к</w:t>
      </w:r>
      <w:r w:rsidRPr="006840F5">
        <w:rPr>
          <w:sz w:val="26"/>
          <w:szCs w:val="26"/>
        </w:rPr>
        <w:t>онкурентными способами являются:</w:t>
      </w:r>
    </w:p>
    <w:p w:rsidR="00291AA9" w:rsidRPr="006840F5" w:rsidRDefault="00291AA9" w:rsidP="00291AA9">
      <w:pPr>
        <w:ind w:firstLine="567"/>
        <w:jc w:val="both"/>
        <w:rPr>
          <w:sz w:val="26"/>
          <w:szCs w:val="26"/>
        </w:rPr>
      </w:pPr>
      <w:r w:rsidRPr="006840F5">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291AA9" w:rsidRPr="006840F5" w:rsidRDefault="00291AA9" w:rsidP="00291AA9">
      <w:pPr>
        <w:ind w:firstLine="567"/>
        <w:jc w:val="both"/>
        <w:rPr>
          <w:sz w:val="26"/>
          <w:szCs w:val="26"/>
        </w:rPr>
      </w:pPr>
      <w:r w:rsidRPr="006840F5">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291AA9" w:rsidRDefault="00291AA9" w:rsidP="00291AA9">
      <w:pPr>
        <w:ind w:firstLine="567"/>
        <w:jc w:val="both"/>
        <w:rPr>
          <w:sz w:val="26"/>
          <w:szCs w:val="26"/>
        </w:rPr>
      </w:pPr>
      <w:r w:rsidRPr="006840F5">
        <w:rPr>
          <w:sz w:val="26"/>
          <w:szCs w:val="26"/>
        </w:rPr>
        <w:t>3) запрос котировок в электронной форме (далее - электронный запрос котировок).</w:t>
      </w:r>
    </w:p>
    <w:p w:rsidR="00291AA9" w:rsidRDefault="00291AA9" w:rsidP="00291AA9">
      <w:pPr>
        <w:ind w:firstLine="567"/>
        <w:jc w:val="both"/>
        <w:rPr>
          <w:sz w:val="26"/>
          <w:szCs w:val="26"/>
        </w:rPr>
      </w:pPr>
      <w:r>
        <w:rPr>
          <w:sz w:val="26"/>
          <w:szCs w:val="26"/>
        </w:rPr>
        <w:lastRenderedPageBreak/>
        <w:t>Согласно ч. 1 ст. 48 Закона о контрактной системе э</w:t>
      </w:r>
      <w:r w:rsidRPr="000F0C09">
        <w:rPr>
          <w:sz w:val="26"/>
          <w:szCs w:val="26"/>
        </w:rPr>
        <w:t>лектронный конкурс начинается с размещения в единой информационной системе извещения об осуществлении закупки.</w:t>
      </w:r>
    </w:p>
    <w:p w:rsidR="00291AA9" w:rsidRDefault="00291AA9" w:rsidP="00291AA9">
      <w:pPr>
        <w:tabs>
          <w:tab w:val="left" w:pos="142"/>
        </w:tabs>
        <w:ind w:firstLine="567"/>
        <w:jc w:val="both"/>
        <w:rPr>
          <w:sz w:val="26"/>
          <w:szCs w:val="26"/>
        </w:rPr>
      </w:pPr>
      <w:r>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291AA9" w:rsidRDefault="00291AA9" w:rsidP="00291AA9">
      <w:pPr>
        <w:tabs>
          <w:tab w:val="left" w:pos="142"/>
        </w:tabs>
        <w:ind w:firstLine="567"/>
        <w:jc w:val="both"/>
        <w:rPr>
          <w:sz w:val="26"/>
          <w:szCs w:val="26"/>
        </w:rPr>
      </w:pPr>
      <w:r>
        <w:rPr>
          <w:sz w:val="26"/>
          <w:szCs w:val="26"/>
        </w:rPr>
        <w:t>В силу ч. 1 ст. 32 Закона о контрактной системе для оценки заявок участников закупки заказчик использует следующие критерии:</w:t>
      </w:r>
    </w:p>
    <w:p w:rsidR="00291AA9" w:rsidRDefault="00291AA9" w:rsidP="00291AA9">
      <w:pPr>
        <w:tabs>
          <w:tab w:val="left" w:pos="142"/>
        </w:tabs>
        <w:ind w:firstLine="567"/>
        <w:jc w:val="both"/>
        <w:rPr>
          <w:sz w:val="26"/>
          <w:szCs w:val="26"/>
        </w:rPr>
      </w:pPr>
      <w:r>
        <w:rPr>
          <w:sz w:val="26"/>
          <w:szCs w:val="26"/>
        </w:rPr>
        <w:t>1) цена контракта, сумма цен единиц товара, работы, услуги;</w:t>
      </w:r>
    </w:p>
    <w:p w:rsidR="00291AA9" w:rsidRDefault="00291AA9" w:rsidP="00291AA9">
      <w:pPr>
        <w:tabs>
          <w:tab w:val="left" w:pos="142"/>
        </w:tabs>
        <w:ind w:firstLine="567"/>
        <w:jc w:val="both"/>
        <w:rPr>
          <w:sz w:val="26"/>
          <w:szCs w:val="26"/>
        </w:rPr>
      </w:pPr>
      <w:r>
        <w:rPr>
          <w:sz w:val="26"/>
          <w:szCs w:val="26"/>
        </w:rPr>
        <w:t>2) расходы на эксплуатацию и ремонт товаров, использование результатов работ;</w:t>
      </w:r>
    </w:p>
    <w:p w:rsidR="00291AA9" w:rsidRDefault="00291AA9" w:rsidP="00291AA9">
      <w:pPr>
        <w:tabs>
          <w:tab w:val="left" w:pos="142"/>
        </w:tabs>
        <w:ind w:firstLine="567"/>
        <w:jc w:val="both"/>
        <w:rPr>
          <w:sz w:val="26"/>
          <w:szCs w:val="26"/>
        </w:rPr>
      </w:pPr>
      <w:r>
        <w:rPr>
          <w:sz w:val="26"/>
          <w:szCs w:val="26"/>
        </w:rPr>
        <w:t>3) качественные, функциональные и экологические характеристики объекта закупки;</w:t>
      </w:r>
    </w:p>
    <w:p w:rsidR="00291AA9" w:rsidRDefault="00291AA9" w:rsidP="00291AA9">
      <w:pPr>
        <w:tabs>
          <w:tab w:val="left" w:pos="142"/>
        </w:tabs>
        <w:ind w:firstLine="567"/>
        <w:jc w:val="both"/>
        <w:rPr>
          <w:sz w:val="26"/>
          <w:szCs w:val="26"/>
        </w:rPr>
      </w:pPr>
      <w:r>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291AA9" w:rsidRDefault="00291AA9" w:rsidP="00291AA9">
      <w:pPr>
        <w:tabs>
          <w:tab w:val="left" w:pos="142"/>
        </w:tabs>
        <w:ind w:firstLine="567"/>
        <w:jc w:val="both"/>
        <w:rPr>
          <w:sz w:val="26"/>
          <w:szCs w:val="26"/>
        </w:rPr>
      </w:pPr>
      <w:r>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291AA9" w:rsidRDefault="00291AA9" w:rsidP="00291AA9">
      <w:pPr>
        <w:tabs>
          <w:tab w:val="left" w:pos="142"/>
        </w:tabs>
        <w:ind w:firstLine="567"/>
        <w:jc w:val="both"/>
        <w:rPr>
          <w:sz w:val="26"/>
          <w:szCs w:val="26"/>
        </w:rPr>
      </w:pPr>
      <w:r>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291AA9" w:rsidRDefault="00291AA9" w:rsidP="00291AA9">
      <w:pPr>
        <w:tabs>
          <w:tab w:val="left" w:pos="142"/>
        </w:tabs>
        <w:ind w:firstLine="567"/>
        <w:jc w:val="both"/>
        <w:rPr>
          <w:sz w:val="26"/>
          <w:szCs w:val="26"/>
        </w:rPr>
      </w:pPr>
      <w:r>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291AA9" w:rsidRDefault="00291AA9" w:rsidP="00291AA9">
      <w:pPr>
        <w:tabs>
          <w:tab w:val="left" w:pos="142"/>
        </w:tabs>
        <w:ind w:firstLine="567"/>
        <w:jc w:val="both"/>
        <w:rPr>
          <w:sz w:val="26"/>
          <w:szCs w:val="26"/>
        </w:rPr>
      </w:pPr>
      <w:r>
        <w:rPr>
          <w:sz w:val="26"/>
          <w:szCs w:val="26"/>
        </w:rPr>
        <w:t>В соответствии с п. 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291AA9" w:rsidRDefault="00291AA9" w:rsidP="00291AA9">
      <w:pPr>
        <w:tabs>
          <w:tab w:val="left" w:pos="142"/>
        </w:tabs>
        <w:ind w:firstLine="567"/>
        <w:jc w:val="both"/>
        <w:rPr>
          <w:sz w:val="26"/>
          <w:szCs w:val="26"/>
        </w:rPr>
      </w:pPr>
      <w:r>
        <w:rPr>
          <w:sz w:val="26"/>
          <w:szCs w:val="26"/>
        </w:rPr>
        <w:lastRenderedPageBreak/>
        <w:t>В силу п. 3 Положения для оценки заявок в соответствии с настоящим Положением применяются следующие критерии оценки:</w:t>
      </w:r>
    </w:p>
    <w:p w:rsidR="00291AA9" w:rsidRDefault="00291AA9" w:rsidP="00291AA9">
      <w:pPr>
        <w:tabs>
          <w:tab w:val="left" w:pos="142"/>
        </w:tabs>
        <w:ind w:firstLine="567"/>
        <w:jc w:val="both"/>
        <w:rPr>
          <w:sz w:val="26"/>
          <w:szCs w:val="26"/>
        </w:rPr>
      </w:pPr>
      <w:r>
        <w:rPr>
          <w:sz w:val="26"/>
          <w:szCs w:val="26"/>
        </w:rPr>
        <w:t>а) цена контракта, сумма цен единиц товара, работы, услуги;</w:t>
      </w:r>
    </w:p>
    <w:p w:rsidR="00291AA9" w:rsidRDefault="00291AA9" w:rsidP="00291AA9">
      <w:pPr>
        <w:tabs>
          <w:tab w:val="left" w:pos="142"/>
        </w:tabs>
        <w:ind w:firstLine="567"/>
        <w:jc w:val="both"/>
        <w:rPr>
          <w:sz w:val="26"/>
          <w:szCs w:val="26"/>
        </w:rPr>
      </w:pPr>
      <w:r>
        <w:rPr>
          <w:sz w:val="26"/>
          <w:szCs w:val="26"/>
        </w:rPr>
        <w:t>б) расходы;</w:t>
      </w:r>
    </w:p>
    <w:p w:rsidR="00291AA9" w:rsidRDefault="00291AA9" w:rsidP="00291AA9">
      <w:pPr>
        <w:tabs>
          <w:tab w:val="left" w:pos="142"/>
        </w:tabs>
        <w:ind w:firstLine="567"/>
        <w:jc w:val="both"/>
        <w:rPr>
          <w:sz w:val="26"/>
          <w:szCs w:val="26"/>
        </w:rPr>
      </w:pPr>
      <w:r>
        <w:rPr>
          <w:sz w:val="26"/>
          <w:szCs w:val="26"/>
        </w:rPr>
        <w:t>в) характеристики объекта закупки;</w:t>
      </w:r>
    </w:p>
    <w:p w:rsidR="00291AA9" w:rsidRDefault="00291AA9" w:rsidP="00291AA9">
      <w:pPr>
        <w:tabs>
          <w:tab w:val="left" w:pos="142"/>
        </w:tabs>
        <w:ind w:firstLine="567"/>
        <w:jc w:val="both"/>
        <w:rPr>
          <w:sz w:val="26"/>
          <w:szCs w:val="26"/>
        </w:rPr>
      </w:pPr>
      <w:r>
        <w:rPr>
          <w:sz w:val="26"/>
          <w:szCs w:val="26"/>
        </w:rPr>
        <w:t>г) квалификация участников закупки.</w:t>
      </w:r>
    </w:p>
    <w:p w:rsidR="00291AA9" w:rsidRDefault="00291AA9" w:rsidP="00291AA9">
      <w:pPr>
        <w:tabs>
          <w:tab w:val="left" w:pos="142"/>
        </w:tabs>
        <w:ind w:firstLine="567"/>
        <w:jc w:val="both"/>
        <w:rPr>
          <w:sz w:val="26"/>
          <w:szCs w:val="26"/>
        </w:rPr>
      </w:pPr>
      <w:r>
        <w:rPr>
          <w:sz w:val="26"/>
          <w:szCs w:val="26"/>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rsidR="00291AA9" w:rsidRDefault="00291AA9" w:rsidP="00291AA9">
      <w:pPr>
        <w:tabs>
          <w:tab w:val="left" w:pos="142"/>
        </w:tabs>
        <w:ind w:firstLine="567"/>
        <w:jc w:val="both"/>
        <w:rPr>
          <w:sz w:val="26"/>
          <w:szCs w:val="26"/>
        </w:rPr>
      </w:pPr>
      <w:r>
        <w:rPr>
          <w:sz w:val="26"/>
          <w:szCs w:val="26"/>
        </w:rPr>
        <w:t>а) применяются детализирующие показатели;</w:t>
      </w:r>
    </w:p>
    <w:p w:rsidR="00291AA9" w:rsidRDefault="00291AA9" w:rsidP="00291AA9">
      <w:pPr>
        <w:tabs>
          <w:tab w:val="left" w:pos="142"/>
        </w:tabs>
        <w:ind w:firstLine="567"/>
        <w:jc w:val="both"/>
        <w:rPr>
          <w:sz w:val="26"/>
          <w:szCs w:val="26"/>
        </w:rPr>
      </w:pPr>
      <w:r>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291AA9" w:rsidRDefault="00291AA9" w:rsidP="00291AA9">
      <w:pPr>
        <w:tabs>
          <w:tab w:val="left" w:pos="142"/>
        </w:tabs>
        <w:ind w:firstLine="567"/>
        <w:jc w:val="both"/>
        <w:rPr>
          <w:sz w:val="26"/>
          <w:szCs w:val="26"/>
        </w:rPr>
      </w:pPr>
      <w:r>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291AA9" w:rsidRPr="00A024C1" w:rsidRDefault="00291AA9" w:rsidP="00291AA9">
      <w:pPr>
        <w:tabs>
          <w:tab w:val="left" w:pos="142"/>
        </w:tabs>
        <w:ind w:firstLine="567"/>
        <w:jc w:val="both"/>
        <w:rPr>
          <w:sz w:val="26"/>
          <w:szCs w:val="26"/>
        </w:rPr>
      </w:pPr>
      <w:r w:rsidRPr="00A024C1">
        <w:rPr>
          <w:sz w:val="26"/>
          <w:szCs w:val="26"/>
        </w:rPr>
        <w:t>В силу п.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291AA9" w:rsidRPr="00A024C1" w:rsidRDefault="00291AA9" w:rsidP="00291AA9">
      <w:pPr>
        <w:tabs>
          <w:tab w:val="left" w:pos="142"/>
        </w:tabs>
        <w:ind w:firstLine="567"/>
        <w:jc w:val="both"/>
        <w:rPr>
          <w:sz w:val="26"/>
          <w:szCs w:val="26"/>
        </w:rPr>
      </w:pPr>
      <w:r w:rsidRPr="00A024C1">
        <w:rPr>
          <w:sz w:val="26"/>
          <w:szCs w:val="26"/>
        </w:rPr>
        <w:t>а) наличие у участников закупки финансовых ресурсов;</w:t>
      </w:r>
    </w:p>
    <w:p w:rsidR="00291AA9" w:rsidRPr="00A024C1" w:rsidRDefault="00291AA9" w:rsidP="00291AA9">
      <w:pPr>
        <w:tabs>
          <w:tab w:val="left" w:pos="142"/>
        </w:tabs>
        <w:ind w:firstLine="567"/>
        <w:jc w:val="both"/>
        <w:rPr>
          <w:sz w:val="26"/>
          <w:szCs w:val="26"/>
        </w:rPr>
      </w:pPr>
      <w:r w:rsidRPr="00A024C1">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291AA9" w:rsidRPr="00A024C1" w:rsidRDefault="00291AA9" w:rsidP="00291AA9">
      <w:pPr>
        <w:tabs>
          <w:tab w:val="left" w:pos="142"/>
        </w:tabs>
        <w:ind w:firstLine="567"/>
        <w:jc w:val="both"/>
        <w:rPr>
          <w:sz w:val="26"/>
          <w:szCs w:val="26"/>
        </w:rPr>
      </w:pPr>
      <w:r w:rsidRPr="00A024C1">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291AA9" w:rsidRPr="00A024C1" w:rsidRDefault="00291AA9" w:rsidP="00291AA9">
      <w:pPr>
        <w:tabs>
          <w:tab w:val="left" w:pos="142"/>
        </w:tabs>
        <w:ind w:firstLine="567"/>
        <w:jc w:val="both"/>
        <w:rPr>
          <w:sz w:val="26"/>
          <w:szCs w:val="26"/>
        </w:rPr>
      </w:pPr>
      <w:r w:rsidRPr="00A024C1">
        <w:rPr>
          <w:sz w:val="26"/>
          <w:szCs w:val="26"/>
        </w:rPr>
        <w:t>г) наличие у участников закупки деловой репутации;</w:t>
      </w:r>
    </w:p>
    <w:p w:rsidR="00291AA9" w:rsidRPr="00A024C1" w:rsidRDefault="00291AA9" w:rsidP="00291AA9">
      <w:pPr>
        <w:tabs>
          <w:tab w:val="left" w:pos="142"/>
        </w:tabs>
        <w:ind w:firstLine="567"/>
        <w:jc w:val="both"/>
        <w:rPr>
          <w:sz w:val="26"/>
          <w:szCs w:val="26"/>
        </w:rPr>
      </w:pPr>
      <w:r w:rsidRPr="00A024C1">
        <w:rPr>
          <w:sz w:val="26"/>
          <w:szCs w:val="26"/>
        </w:rPr>
        <w:t>д) наличие у участников закупки специалистов и иных работников определенного уровня квалификации.</w:t>
      </w:r>
    </w:p>
    <w:p w:rsidR="00291AA9" w:rsidRPr="00A024C1" w:rsidRDefault="00291AA9" w:rsidP="00291AA9">
      <w:pPr>
        <w:tabs>
          <w:tab w:val="left" w:pos="142"/>
        </w:tabs>
        <w:ind w:firstLine="567"/>
        <w:jc w:val="both"/>
        <w:rPr>
          <w:sz w:val="26"/>
          <w:szCs w:val="26"/>
        </w:rPr>
      </w:pPr>
      <w:r w:rsidRPr="00A024C1">
        <w:rPr>
          <w:sz w:val="26"/>
          <w:szCs w:val="26"/>
        </w:rPr>
        <w:t>В силу п. 28 Положения в случае применения показателя оценки, предусмотренного подпунктом "в" п. 24 Положения:</w:t>
      </w:r>
    </w:p>
    <w:p w:rsidR="00291AA9" w:rsidRPr="00A024C1" w:rsidRDefault="00291AA9" w:rsidP="00291AA9">
      <w:pPr>
        <w:tabs>
          <w:tab w:val="left" w:pos="142"/>
        </w:tabs>
        <w:ind w:firstLine="567"/>
        <w:jc w:val="both"/>
        <w:rPr>
          <w:sz w:val="26"/>
          <w:szCs w:val="26"/>
        </w:rPr>
      </w:pPr>
      <w:r w:rsidRPr="00A024C1">
        <w:rPr>
          <w:sz w:val="26"/>
          <w:szCs w:val="26"/>
        </w:rPr>
        <w:t>а) применяются один или несколько из следующих детализирующих показателей оценки:</w:t>
      </w:r>
    </w:p>
    <w:p w:rsidR="00291AA9" w:rsidRPr="00A024C1" w:rsidRDefault="00291AA9" w:rsidP="00291AA9">
      <w:pPr>
        <w:tabs>
          <w:tab w:val="left" w:pos="142"/>
        </w:tabs>
        <w:ind w:firstLine="567"/>
        <w:jc w:val="both"/>
        <w:rPr>
          <w:sz w:val="26"/>
          <w:szCs w:val="26"/>
        </w:rPr>
      </w:pPr>
      <w:r w:rsidRPr="00A024C1">
        <w:rPr>
          <w:sz w:val="26"/>
          <w:szCs w:val="26"/>
        </w:rPr>
        <w:t>общая цена исполненных участником закупки договоров;</w:t>
      </w:r>
    </w:p>
    <w:p w:rsidR="00291AA9" w:rsidRPr="00A024C1" w:rsidRDefault="00291AA9" w:rsidP="00291AA9">
      <w:pPr>
        <w:tabs>
          <w:tab w:val="left" w:pos="142"/>
        </w:tabs>
        <w:ind w:firstLine="567"/>
        <w:jc w:val="both"/>
        <w:rPr>
          <w:sz w:val="26"/>
          <w:szCs w:val="26"/>
        </w:rPr>
      </w:pPr>
      <w:r w:rsidRPr="00A024C1">
        <w:rPr>
          <w:sz w:val="26"/>
          <w:szCs w:val="26"/>
        </w:rPr>
        <w:t>общее количество исполненных участником закупки договоров;</w:t>
      </w:r>
    </w:p>
    <w:p w:rsidR="00291AA9" w:rsidRPr="00A024C1" w:rsidRDefault="00291AA9" w:rsidP="00291AA9">
      <w:pPr>
        <w:tabs>
          <w:tab w:val="left" w:pos="142"/>
        </w:tabs>
        <w:ind w:firstLine="567"/>
        <w:jc w:val="both"/>
        <w:rPr>
          <w:sz w:val="26"/>
          <w:szCs w:val="26"/>
        </w:rPr>
      </w:pPr>
      <w:r w:rsidRPr="00A024C1">
        <w:rPr>
          <w:sz w:val="26"/>
          <w:szCs w:val="26"/>
        </w:rPr>
        <w:t>наибольшая цена одного из исполненных участником закупки договоров;</w:t>
      </w:r>
    </w:p>
    <w:p w:rsidR="00291AA9" w:rsidRPr="00A024C1" w:rsidRDefault="00291AA9" w:rsidP="00291AA9">
      <w:pPr>
        <w:tabs>
          <w:tab w:val="left" w:pos="142"/>
        </w:tabs>
        <w:ind w:firstLine="567"/>
        <w:jc w:val="both"/>
        <w:rPr>
          <w:sz w:val="26"/>
          <w:szCs w:val="26"/>
        </w:rPr>
      </w:pPr>
      <w:r w:rsidRPr="00A024C1">
        <w:rPr>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пунктом 20 настоящего Положения;</w:t>
      </w:r>
    </w:p>
    <w:p w:rsidR="00291AA9" w:rsidRPr="00A024C1" w:rsidRDefault="00291AA9" w:rsidP="00291AA9">
      <w:pPr>
        <w:tabs>
          <w:tab w:val="left" w:pos="142"/>
        </w:tabs>
        <w:ind w:firstLine="567"/>
        <w:jc w:val="both"/>
        <w:rPr>
          <w:sz w:val="26"/>
          <w:szCs w:val="26"/>
        </w:rPr>
      </w:pPr>
      <w:r w:rsidRPr="00A024C1">
        <w:rPr>
          <w:sz w:val="26"/>
          <w:szCs w:val="26"/>
        </w:rPr>
        <w:t>в) документом, предусмотренным приложением N 1 к настоящему Положению:</w:t>
      </w:r>
    </w:p>
    <w:p w:rsidR="00291AA9" w:rsidRPr="00A024C1" w:rsidRDefault="00291AA9" w:rsidP="00291AA9">
      <w:pPr>
        <w:tabs>
          <w:tab w:val="left" w:pos="142"/>
        </w:tabs>
        <w:ind w:firstLine="567"/>
        <w:jc w:val="both"/>
        <w:rPr>
          <w:sz w:val="26"/>
          <w:szCs w:val="26"/>
        </w:rPr>
      </w:pPr>
      <w:r w:rsidRPr="00A024C1">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291AA9" w:rsidRPr="00F233AB" w:rsidRDefault="00291AA9" w:rsidP="00291AA9">
      <w:pPr>
        <w:tabs>
          <w:tab w:val="left" w:pos="142"/>
        </w:tabs>
        <w:ind w:firstLine="567"/>
        <w:jc w:val="both"/>
        <w:rPr>
          <w:b/>
          <w:i/>
          <w:sz w:val="26"/>
          <w:szCs w:val="26"/>
        </w:rPr>
      </w:pPr>
      <w:r w:rsidRPr="00A024C1">
        <w:rPr>
          <w:sz w:val="26"/>
          <w:szCs w:val="26"/>
        </w:rPr>
        <w:lastRenderedPageBreak/>
        <w:t xml:space="preserve">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w:t>
      </w:r>
      <w:r w:rsidRPr="00906529">
        <w:rPr>
          <w:sz w:val="26"/>
          <w:szCs w:val="26"/>
        </w:rPr>
        <w:t>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291AA9" w:rsidRPr="00A024C1" w:rsidRDefault="00291AA9" w:rsidP="00291AA9">
      <w:pPr>
        <w:tabs>
          <w:tab w:val="left" w:pos="142"/>
        </w:tabs>
        <w:ind w:firstLine="567"/>
        <w:jc w:val="both"/>
        <w:rPr>
          <w:sz w:val="26"/>
          <w:szCs w:val="26"/>
        </w:rPr>
      </w:pPr>
      <w:r w:rsidRPr="00A024C1">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291AA9" w:rsidRPr="00A024C1" w:rsidRDefault="00291AA9" w:rsidP="00291AA9">
      <w:pPr>
        <w:tabs>
          <w:tab w:val="left" w:pos="142"/>
        </w:tabs>
        <w:ind w:firstLine="567"/>
        <w:jc w:val="both"/>
        <w:rPr>
          <w:sz w:val="26"/>
          <w:szCs w:val="26"/>
        </w:rPr>
      </w:pPr>
      <w:r w:rsidRPr="00A024C1">
        <w:rPr>
          <w:sz w:val="26"/>
          <w:szCs w:val="26"/>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291AA9" w:rsidRPr="00A024C1" w:rsidRDefault="00291AA9" w:rsidP="00291AA9">
      <w:pPr>
        <w:tabs>
          <w:tab w:val="left" w:pos="142"/>
        </w:tabs>
        <w:ind w:firstLine="567"/>
        <w:jc w:val="both"/>
        <w:rPr>
          <w:sz w:val="26"/>
          <w:szCs w:val="26"/>
        </w:rPr>
      </w:pPr>
      <w:r w:rsidRPr="00A024C1">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291AA9" w:rsidRPr="00A024C1" w:rsidRDefault="00291AA9" w:rsidP="00291AA9">
      <w:pPr>
        <w:tabs>
          <w:tab w:val="left" w:pos="142"/>
        </w:tabs>
        <w:ind w:firstLine="567"/>
        <w:jc w:val="both"/>
        <w:rPr>
          <w:sz w:val="26"/>
          <w:szCs w:val="26"/>
        </w:rPr>
      </w:pPr>
      <w:r w:rsidRPr="00A024C1">
        <w:rPr>
          <w:sz w:val="26"/>
          <w:szCs w:val="26"/>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пп. "д" п. 31, пп. "г" п. 32 и пп.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291AA9" w:rsidRPr="0047084D" w:rsidRDefault="00291AA9" w:rsidP="00291AA9">
      <w:pPr>
        <w:tabs>
          <w:tab w:val="left" w:pos="142"/>
        </w:tabs>
        <w:ind w:firstLine="567"/>
        <w:jc w:val="both"/>
        <w:rPr>
          <w:sz w:val="26"/>
          <w:szCs w:val="26"/>
        </w:rPr>
      </w:pPr>
      <w:r w:rsidRPr="0047084D">
        <w:rPr>
          <w:sz w:val="26"/>
          <w:szCs w:val="26"/>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291AA9" w:rsidRPr="0047084D" w:rsidRDefault="00291AA9" w:rsidP="00291AA9">
      <w:pPr>
        <w:tabs>
          <w:tab w:val="left" w:pos="142"/>
        </w:tabs>
        <w:ind w:firstLine="567"/>
        <w:jc w:val="both"/>
        <w:rPr>
          <w:sz w:val="26"/>
          <w:szCs w:val="26"/>
        </w:rPr>
      </w:pPr>
      <w:r w:rsidRPr="0047084D">
        <w:rPr>
          <w:sz w:val="26"/>
          <w:szCs w:val="26"/>
        </w:rPr>
        <w:t xml:space="preserve">В соответствии с извещением о проведении закупки Заказчиком для оценки заявок участников закупки использован, в том числе, критерий </w:t>
      </w:r>
      <w:r w:rsidRPr="00A024C1">
        <w:rPr>
          <w:sz w:val="26"/>
          <w:szCs w:val="26"/>
        </w:rPr>
        <w:t>«Квалификация участников заку</w:t>
      </w:r>
      <w:r>
        <w:rPr>
          <w:sz w:val="26"/>
          <w:szCs w:val="26"/>
        </w:rPr>
        <w:t>пки</w:t>
      </w:r>
      <w:r w:rsidRPr="0047084D">
        <w:rPr>
          <w:sz w:val="26"/>
          <w:szCs w:val="26"/>
        </w:rPr>
        <w:t>».</w:t>
      </w:r>
    </w:p>
    <w:p w:rsidR="00291AA9" w:rsidRDefault="00291AA9" w:rsidP="00291AA9">
      <w:pPr>
        <w:tabs>
          <w:tab w:val="left" w:pos="142"/>
        </w:tabs>
        <w:ind w:firstLine="567"/>
        <w:jc w:val="both"/>
        <w:rPr>
          <w:sz w:val="26"/>
          <w:szCs w:val="26"/>
        </w:rPr>
      </w:pPr>
      <w:r>
        <w:rPr>
          <w:sz w:val="26"/>
          <w:szCs w:val="26"/>
        </w:rPr>
        <w:t xml:space="preserve">Согласно электронному документу </w:t>
      </w:r>
      <w:r w:rsidRPr="0047084D">
        <w:rPr>
          <w:sz w:val="26"/>
          <w:szCs w:val="26"/>
        </w:rPr>
        <w:t>«</w:t>
      </w:r>
      <w:r w:rsidRPr="00C34CE8">
        <w:rPr>
          <w:i/>
          <w:sz w:val="26"/>
          <w:szCs w:val="26"/>
        </w:rPr>
        <w:t>Порядок рассмотрения и оценки заявок на участие в конкурсах</w:t>
      </w:r>
      <w:r w:rsidRPr="006C55F0">
        <w:rPr>
          <w:i/>
          <w:sz w:val="26"/>
          <w:szCs w:val="26"/>
        </w:rPr>
        <w:t>.docx</w:t>
      </w:r>
      <w:r w:rsidRPr="0047084D">
        <w:rPr>
          <w:sz w:val="26"/>
          <w:szCs w:val="26"/>
        </w:rPr>
        <w:t>»</w:t>
      </w:r>
      <w:r>
        <w:rPr>
          <w:sz w:val="26"/>
          <w:szCs w:val="26"/>
        </w:rPr>
        <w:t xml:space="preserve"> </w:t>
      </w:r>
      <w:r w:rsidRPr="0047084D">
        <w:rPr>
          <w:sz w:val="26"/>
          <w:szCs w:val="26"/>
        </w:rPr>
        <w:t>к извещению о проведении закупки показателе</w:t>
      </w:r>
      <w:r>
        <w:rPr>
          <w:sz w:val="26"/>
          <w:szCs w:val="26"/>
        </w:rPr>
        <w:t>м названного критерия является «</w:t>
      </w:r>
      <w:r>
        <w:rPr>
          <w:i/>
          <w:sz w:val="26"/>
          <w:szCs w:val="26"/>
        </w:rPr>
        <w:t>Н</w:t>
      </w:r>
      <w:r w:rsidRPr="00C34CE8">
        <w:rPr>
          <w:i/>
          <w:sz w:val="26"/>
          <w:szCs w:val="26"/>
        </w:rPr>
        <w:t>аличие у участников закупки опыта поставки товара, выполнения работы, оказания услуги, связанного с предметом контракта</w:t>
      </w:r>
      <w:r>
        <w:rPr>
          <w:sz w:val="26"/>
          <w:szCs w:val="26"/>
        </w:rPr>
        <w:t>»</w:t>
      </w:r>
      <w:r w:rsidRPr="0047084D">
        <w:rPr>
          <w:sz w:val="26"/>
          <w:szCs w:val="26"/>
        </w:rPr>
        <w:t xml:space="preserve"> критерия «</w:t>
      </w:r>
      <w:r w:rsidRPr="00A024C1">
        <w:rPr>
          <w:i/>
          <w:sz w:val="26"/>
          <w:szCs w:val="26"/>
        </w:rPr>
        <w:t>Квалификация участников закупки</w:t>
      </w:r>
      <w:r w:rsidRPr="0047084D">
        <w:rPr>
          <w:sz w:val="26"/>
          <w:szCs w:val="26"/>
        </w:rPr>
        <w:t>».</w:t>
      </w:r>
    </w:p>
    <w:p w:rsidR="00291AA9" w:rsidRDefault="00291AA9" w:rsidP="00291AA9">
      <w:pPr>
        <w:ind w:firstLine="539"/>
        <w:jc w:val="both"/>
        <w:rPr>
          <w:sz w:val="26"/>
          <w:szCs w:val="26"/>
        </w:rPr>
      </w:pPr>
      <w:r>
        <w:rPr>
          <w:sz w:val="26"/>
          <w:szCs w:val="26"/>
        </w:rPr>
        <w:t>Анализ вышеуказанного раздела извещения показал, что Заказчиком установлен следующий порядок оценки заявок:</w:t>
      </w:r>
    </w:p>
    <w:p w:rsidR="00D56D1F" w:rsidRPr="00D56D1F" w:rsidRDefault="00D56D1F" w:rsidP="00D56D1F">
      <w:pPr>
        <w:ind w:firstLine="539"/>
        <w:jc w:val="both"/>
        <w:rPr>
          <w:i/>
          <w:sz w:val="26"/>
          <w:szCs w:val="26"/>
        </w:rPr>
      </w:pPr>
      <w:r>
        <w:rPr>
          <w:i/>
          <w:sz w:val="26"/>
          <w:szCs w:val="26"/>
        </w:rPr>
        <w:t xml:space="preserve"> «</w:t>
      </w:r>
      <w:r w:rsidRPr="00D56D1F">
        <w:rPr>
          <w:i/>
          <w:sz w:val="26"/>
          <w:szCs w:val="26"/>
        </w:rPr>
        <w:t>Подпункт «в» пункта 24 Положения. Подпункт «в» пункта 33 Положения.</w:t>
      </w:r>
    </w:p>
    <w:p w:rsidR="00D56D1F" w:rsidRPr="00D56D1F" w:rsidRDefault="00D56D1F" w:rsidP="00D56D1F">
      <w:pPr>
        <w:ind w:firstLine="539"/>
        <w:jc w:val="both"/>
        <w:rPr>
          <w:i/>
          <w:sz w:val="26"/>
          <w:szCs w:val="26"/>
        </w:rPr>
      </w:pPr>
      <w:r w:rsidRPr="00D56D1F">
        <w:rPr>
          <w:i/>
          <w:sz w:val="26"/>
          <w:szCs w:val="26"/>
        </w:rPr>
        <w:t>Устанавливается предмет договора (договоров), оцениваемого по каждому детализирующему показателю, сопоставимый с объектом закупки настоящего конкурса.</w:t>
      </w:r>
    </w:p>
    <w:p w:rsidR="00D56D1F" w:rsidRPr="00D56D1F" w:rsidRDefault="00D56D1F" w:rsidP="00D56D1F">
      <w:pPr>
        <w:ind w:firstLine="539"/>
        <w:jc w:val="both"/>
        <w:rPr>
          <w:i/>
          <w:sz w:val="26"/>
          <w:szCs w:val="26"/>
        </w:rPr>
      </w:pPr>
      <w:r w:rsidRPr="00D56D1F">
        <w:rPr>
          <w:i/>
          <w:sz w:val="26"/>
          <w:szCs w:val="26"/>
        </w:rPr>
        <w:lastRenderedPageBreak/>
        <w:t>Под предметом договора сопоставимым с объектом закупки настоящего конкурса подразумевается договор, предусматривающий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rsidR="00D56D1F" w:rsidRPr="00D56D1F" w:rsidRDefault="00D56D1F" w:rsidP="00D56D1F">
      <w:pPr>
        <w:ind w:firstLine="539"/>
        <w:jc w:val="both"/>
        <w:rPr>
          <w:i/>
          <w:sz w:val="26"/>
          <w:szCs w:val="26"/>
        </w:rPr>
      </w:pPr>
      <w:r w:rsidRPr="00D56D1F">
        <w:rPr>
          <w:i/>
          <w:sz w:val="26"/>
          <w:szCs w:val="26"/>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D56D1F" w:rsidRPr="00D56D1F" w:rsidRDefault="00D56D1F" w:rsidP="00D56D1F">
      <w:pPr>
        <w:ind w:firstLine="539"/>
        <w:jc w:val="both"/>
        <w:rPr>
          <w:i/>
          <w:sz w:val="26"/>
          <w:szCs w:val="26"/>
        </w:rPr>
      </w:pPr>
      <w:r w:rsidRPr="00D56D1F">
        <w:rPr>
          <w:i/>
          <w:sz w:val="26"/>
          <w:szCs w:val="26"/>
        </w:rPr>
        <w:t>В случае наличия в представленных документах неполной информации, такой документ считается не представленным. В случае представления неполного комплекта документов по контракту/договору или предоставления только реестрового номера контракта, комиссия не учитывает стоимость такого контракта/договора.</w:t>
      </w:r>
    </w:p>
    <w:p w:rsidR="00D56D1F" w:rsidRPr="00D56D1F" w:rsidRDefault="00D56D1F" w:rsidP="00D56D1F">
      <w:pPr>
        <w:ind w:firstLine="539"/>
        <w:jc w:val="both"/>
        <w:rPr>
          <w:i/>
          <w:sz w:val="26"/>
          <w:szCs w:val="26"/>
        </w:rPr>
      </w:pPr>
      <w:r w:rsidRPr="00D56D1F">
        <w:rPr>
          <w:i/>
          <w:sz w:val="26"/>
          <w:szCs w:val="26"/>
        </w:rPr>
        <w:t>Из представленных в составе заявки документов, подтверждающих приемку выполненных работ должна быть очевидна принадлежность этих документов к тому или иному договору/контракту, представленному в составе заявки. Заказчиком установлена рекомендуемая форма в приложении №1 к Настоящему порядку рассмотрения и оценки заявок.</w:t>
      </w:r>
    </w:p>
    <w:p w:rsidR="00D56D1F" w:rsidRPr="00D56D1F" w:rsidRDefault="00D56D1F" w:rsidP="00D56D1F">
      <w:pPr>
        <w:ind w:firstLine="539"/>
        <w:jc w:val="both"/>
        <w:rPr>
          <w:i/>
          <w:sz w:val="26"/>
          <w:szCs w:val="26"/>
        </w:rPr>
      </w:pPr>
      <w:r w:rsidRPr="00D56D1F">
        <w:rPr>
          <w:i/>
          <w:sz w:val="26"/>
          <w:szCs w:val="26"/>
        </w:rPr>
        <w:t>Подпункт «а» пункта 28 Положения.</w:t>
      </w:r>
    </w:p>
    <w:p w:rsidR="00D56D1F" w:rsidRPr="00D56D1F" w:rsidRDefault="00D56D1F" w:rsidP="00D56D1F">
      <w:pPr>
        <w:ind w:firstLine="539"/>
        <w:jc w:val="both"/>
        <w:rPr>
          <w:i/>
          <w:sz w:val="26"/>
          <w:szCs w:val="26"/>
        </w:rPr>
      </w:pPr>
      <w:r w:rsidRPr="00D56D1F">
        <w:rPr>
          <w:i/>
          <w:sz w:val="26"/>
          <w:szCs w:val="26"/>
        </w:rPr>
        <w:t>В рамках детализирующего показателя Характеристика квалификации участников закупки № 1 (общее количество исполненных участником закупки договоров) оценивается общее количество надлежаще исполненных контрактов (договоров), сопоставимых объекту закупки настоящего конкурса.</w:t>
      </w:r>
    </w:p>
    <w:p w:rsidR="00D56D1F" w:rsidRPr="00D56D1F" w:rsidRDefault="00D56D1F" w:rsidP="00D56D1F">
      <w:pPr>
        <w:ind w:firstLine="539"/>
        <w:jc w:val="both"/>
        <w:rPr>
          <w:i/>
          <w:sz w:val="26"/>
          <w:szCs w:val="26"/>
        </w:rPr>
      </w:pPr>
      <w:r w:rsidRPr="00D56D1F">
        <w:rPr>
          <w:i/>
          <w:sz w:val="26"/>
          <w:szCs w:val="26"/>
        </w:rPr>
        <w:t xml:space="preserve">В рамках детализирующего показателя «общее количество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наличия противоречий между информацией, содержащейся в ЕИС, и информацией, содержащейся в документах, представленных участниками закупки в рамках критерия оценки, приоритет имеет информация, содержащаяся в ЕИС. </w:t>
      </w:r>
    </w:p>
    <w:p w:rsidR="00D56D1F" w:rsidRPr="00D56D1F" w:rsidRDefault="00D56D1F" w:rsidP="00D56D1F">
      <w:pPr>
        <w:ind w:firstLine="539"/>
        <w:jc w:val="both"/>
        <w:rPr>
          <w:i/>
          <w:sz w:val="26"/>
          <w:szCs w:val="26"/>
        </w:rPr>
      </w:pPr>
      <w:r w:rsidRPr="00D56D1F">
        <w:rPr>
          <w:i/>
          <w:sz w:val="26"/>
          <w:szCs w:val="26"/>
        </w:rPr>
        <w:t xml:space="preserve">В рамках детализирующего показателя «общее количество исполненных участником закупки договоров» в случае наличия в представленных документах неполной информации, такой документ считается не представленным. Для подтверждения наличия у участника закупки общего количества исполненных участником закупки договоров участник закупки предоставляет в составе заявки копии следующих документов: контракт (договор) со всеми приложениями, дополнениями, изменениями, акты выполненных работ (оказанных услуг) к ним, справку о стоимости выполненных работ и затрат; копию акта сдачи объекта капитального строительства в эксплуатацию (при наличии); копию справки о соответствии параметров построенного, реконструированного  объекта капитального строительства проектной документации (при наличии); копию разрешение на ввод объекта капитального строительства в эксплуатацию  (при наличии). </w:t>
      </w:r>
    </w:p>
    <w:p w:rsidR="00D56D1F" w:rsidRPr="00D56D1F" w:rsidRDefault="00D56D1F" w:rsidP="00D56D1F">
      <w:pPr>
        <w:ind w:firstLine="539"/>
        <w:jc w:val="both"/>
        <w:rPr>
          <w:i/>
          <w:sz w:val="26"/>
          <w:szCs w:val="26"/>
        </w:rPr>
      </w:pPr>
      <w:r w:rsidRPr="00D56D1F">
        <w:rPr>
          <w:i/>
          <w:sz w:val="26"/>
          <w:szCs w:val="26"/>
        </w:rPr>
        <w:lastRenderedPageBreak/>
        <w:t xml:space="preserve">Представленные документы должны быть в виде полночитаемых копий, на которых видны необходимые сведения, в том числе даты, подписи, печати (при наличии). Надлежаще исполненным контрактом (договором) считается контракт (договор), при исполнении которого поставщиком (подрядчиком, исполнителем) исполнены требования об уплате неустоек (штрафов, пеней) (в случае начисления неустоек); Надлежаще исполненным контрактом (договором) считается контракт (договор), последний акт которого, составленный при исполнении договора подписан не ранее чем за 5 лет до даты окончания срока подачи заявок. Договоры, по которым в представленных в заявке документах выявлены несоответствия указанных сведений (в том числе в части стоимости и видов выполненных работ, дат подписания договоров и отчетных документов, адресов выполнения работ, реквизитов подрядных организаций), при оценке заявки по детализирующему показателю «общее количество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учтены не будут. </w:t>
      </w:r>
    </w:p>
    <w:p w:rsidR="00D56D1F" w:rsidRPr="00D56D1F" w:rsidRDefault="00D56D1F" w:rsidP="00D56D1F">
      <w:pPr>
        <w:ind w:firstLine="539"/>
        <w:jc w:val="both"/>
        <w:rPr>
          <w:i/>
          <w:sz w:val="26"/>
          <w:szCs w:val="26"/>
        </w:rPr>
      </w:pPr>
      <w:r w:rsidRPr="00D56D1F">
        <w:rPr>
          <w:i/>
          <w:sz w:val="26"/>
          <w:szCs w:val="26"/>
        </w:rPr>
        <w:t>В рамках детализирующего показателя «общее количество исполненных участником закупки договоров» документы направляются участником закупки в форме электронных документов или в форме электронных образов бумажных документов. Все документы в форме электронных образов бумажных документов должны быть представлены в виде копий, в соответствии с подпунктом 23 пункта 3.1 Национального стандарта Российской Федерации ГОСТ Р 7.0.8-2013 «Система стандартов по информации, библиотечному и издательскому делу. Делопроизводство и архивное дело. Термины и определения». В рамках детализирующего показателя «общее количество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предоставления неполного комплекта документов по контракту (договору), комиссия не учитывает такой контракт (договор).</w:t>
      </w:r>
    </w:p>
    <w:p w:rsidR="00D56D1F" w:rsidRPr="00D56D1F" w:rsidRDefault="00D56D1F" w:rsidP="00D56D1F">
      <w:pPr>
        <w:ind w:firstLine="539"/>
        <w:jc w:val="both"/>
        <w:rPr>
          <w:i/>
          <w:sz w:val="26"/>
          <w:szCs w:val="26"/>
        </w:rPr>
      </w:pPr>
      <w:r w:rsidRPr="00D56D1F">
        <w:rPr>
          <w:i/>
          <w:sz w:val="26"/>
          <w:szCs w:val="26"/>
        </w:rPr>
        <w:t>Подпункт «а» пункта 28 Положения.</w:t>
      </w:r>
    </w:p>
    <w:p w:rsidR="00D56D1F" w:rsidRPr="00D56D1F" w:rsidRDefault="00D56D1F" w:rsidP="00D56D1F">
      <w:pPr>
        <w:ind w:firstLine="539"/>
        <w:jc w:val="both"/>
        <w:rPr>
          <w:i/>
          <w:sz w:val="26"/>
          <w:szCs w:val="26"/>
        </w:rPr>
      </w:pPr>
      <w:r w:rsidRPr="00D56D1F">
        <w:rPr>
          <w:i/>
          <w:sz w:val="26"/>
          <w:szCs w:val="26"/>
        </w:rPr>
        <w:t>В рамках детализирующего показателя Характеристика квалификации участников закупки № 2 (наибольшая цена одного из исполненных участником закупки договоров) оценивается наибольшая цена одного надлежаще исполненного контракта (договора), сопоставимого объекту закупки настоящего конкурса.</w:t>
      </w:r>
    </w:p>
    <w:p w:rsidR="00D56D1F" w:rsidRPr="00D56D1F" w:rsidRDefault="00D56D1F" w:rsidP="00D56D1F">
      <w:pPr>
        <w:ind w:firstLine="539"/>
        <w:jc w:val="both"/>
        <w:rPr>
          <w:i/>
          <w:sz w:val="26"/>
          <w:szCs w:val="26"/>
        </w:rPr>
      </w:pPr>
      <w:r w:rsidRPr="00D56D1F">
        <w:rPr>
          <w:i/>
          <w:sz w:val="26"/>
          <w:szCs w:val="26"/>
        </w:rPr>
        <w:t xml:space="preserve">В рамках детализирующего показателя «наибольшая цена одного из исполненных участником закупки договоров» в случае наличия в представленных документах неполной информации, такой документ считается не представленным. </w:t>
      </w:r>
    </w:p>
    <w:p w:rsidR="00D56D1F" w:rsidRPr="00D56D1F" w:rsidRDefault="00D56D1F" w:rsidP="00D56D1F">
      <w:pPr>
        <w:ind w:firstLine="539"/>
        <w:jc w:val="both"/>
        <w:rPr>
          <w:i/>
          <w:sz w:val="26"/>
          <w:szCs w:val="26"/>
        </w:rPr>
      </w:pPr>
      <w:r w:rsidRPr="00D56D1F">
        <w:rPr>
          <w:i/>
          <w:sz w:val="26"/>
          <w:szCs w:val="26"/>
        </w:rPr>
        <w:t xml:space="preserve">Для подтверждения наличия у участника закупки наибольшей цены исполненного участником закупки договора участник закупки предоставляет в </w:t>
      </w:r>
      <w:r w:rsidRPr="00D56D1F">
        <w:rPr>
          <w:i/>
          <w:sz w:val="26"/>
          <w:szCs w:val="26"/>
        </w:rPr>
        <w:lastRenderedPageBreak/>
        <w:t xml:space="preserve">составе заявки копии следующих документов: контракт (договор) со всеми приложениями, дополнениями, изменениями, акты выполненных работ (оказанных услуг) к ним, справку о стоимости выполненных работ и затрат; копию акта сдачи объекта капитального строительства в эксплуатацию (при наличии); копию справки о соответствии параметров построенного, реконструированного  объекта капитального строительства проектной документации (при наличии); копию разрешение на ввод объекта капитального строительства в эксплуатацию  (при наличии). Представленные документы должны быть в виде полночитаемых копий, на которых видны необходимые сведения, в том числе даты, подписи, печати (при наличии). </w:t>
      </w:r>
    </w:p>
    <w:p w:rsidR="00D56D1F" w:rsidRPr="00D56D1F" w:rsidRDefault="00D56D1F" w:rsidP="00D56D1F">
      <w:pPr>
        <w:ind w:firstLine="539"/>
        <w:jc w:val="both"/>
        <w:rPr>
          <w:i/>
          <w:sz w:val="26"/>
          <w:szCs w:val="26"/>
        </w:rPr>
      </w:pPr>
      <w:r w:rsidRPr="00D56D1F">
        <w:rPr>
          <w:i/>
          <w:sz w:val="26"/>
          <w:szCs w:val="26"/>
        </w:rPr>
        <w:t xml:space="preserve">Надлежаще исполненным контрактом (договором) считается контракт (договор), при исполнении которого поставщиком (подрядчиком, исполнителем) исполнены требования об уплате неустоек (штрафов, пеней) (в случае начисления неустоек); Договор, по которому в представленных в заявке документах выявлены несоответствия указанных сведений (в том числе в части стоимости и видов выполненных работ, даты подписания договора и отчетных документов, адресов выполнения работ, реквизитов подрядных организаций), при оценке заявки по детализирующему показателю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учтен не будут. </w:t>
      </w:r>
    </w:p>
    <w:p w:rsidR="00D56D1F" w:rsidRPr="00D56D1F" w:rsidRDefault="00D56D1F" w:rsidP="00D56D1F">
      <w:pPr>
        <w:ind w:firstLine="539"/>
        <w:jc w:val="both"/>
        <w:rPr>
          <w:i/>
          <w:sz w:val="26"/>
          <w:szCs w:val="26"/>
        </w:rPr>
      </w:pPr>
      <w:r w:rsidRPr="00D56D1F">
        <w:rPr>
          <w:i/>
          <w:sz w:val="26"/>
          <w:szCs w:val="26"/>
        </w:rPr>
        <w:t xml:space="preserve">Надлежаще исполненным контрактом (договором) считается контракт (договор), последний акт которого, составленный при исполнении договора подписан не ранее чем за 5 лет до даты окончания срока подачи заявок. В рамках детализирующего показателя «наибольшая цена одного из исполненных участником закупки договоров» в случае наличия противоречий между информацией, содержащейся в ЕИС, и информацией, содержащейся в документах, представленных участниками закупки в рамках критерия оценки, приоритет имеет информация, содержащаяся в ЕИС. </w:t>
      </w:r>
    </w:p>
    <w:p w:rsidR="00291AA9" w:rsidRPr="00906529" w:rsidRDefault="00D56D1F" w:rsidP="00D56D1F">
      <w:pPr>
        <w:ind w:firstLine="539"/>
        <w:jc w:val="both"/>
        <w:rPr>
          <w:i/>
          <w:sz w:val="26"/>
          <w:szCs w:val="26"/>
        </w:rPr>
      </w:pPr>
      <w:r w:rsidRPr="00D56D1F">
        <w:rPr>
          <w:i/>
          <w:sz w:val="26"/>
          <w:szCs w:val="26"/>
        </w:rPr>
        <w:t xml:space="preserve">В рамках детализирующего показателя «наибольшая цена одного из исполненных участником закупки договоров» учитываются при оценке в том числе договор, заключенный с государственными или муниципальными Заказчиками. В рамках детализирующего показателя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документы направляются участником закупки в форме электронных документов или в форме электронных образов бумажных документов. Все документы в форме электронных образов бумажных документов должны быть представлены в виде копий, в соответствии с подпунктом 23 пункта 3.1 Национального стандарта Российской Федерации ГОСТ Р 7.0.8-2013 «Система </w:t>
      </w:r>
      <w:r w:rsidRPr="00D56D1F">
        <w:rPr>
          <w:i/>
          <w:sz w:val="26"/>
          <w:szCs w:val="26"/>
        </w:rPr>
        <w:lastRenderedPageBreak/>
        <w:t>стандартов по информации, библиотечному и издательскому делу. Делопроизводство и архивное дело. Термины и определения». В рамках детализирующего показателя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предоставления неполного комплекта документов по контракту (договору), комиссия не учи</w:t>
      </w:r>
      <w:r>
        <w:rPr>
          <w:i/>
          <w:sz w:val="26"/>
          <w:szCs w:val="26"/>
        </w:rPr>
        <w:t>тывает такой контракт (договор)</w:t>
      </w:r>
      <w:r w:rsidR="00291AA9" w:rsidRPr="00906529">
        <w:rPr>
          <w:i/>
          <w:sz w:val="26"/>
          <w:szCs w:val="26"/>
        </w:rPr>
        <w:t>».</w:t>
      </w:r>
    </w:p>
    <w:p w:rsidR="00291AA9" w:rsidRPr="00CB0F2F" w:rsidRDefault="00291AA9" w:rsidP="00291AA9">
      <w:pPr>
        <w:ind w:firstLine="539"/>
        <w:jc w:val="both"/>
        <w:rPr>
          <w:color w:val="000000"/>
          <w:sz w:val="26"/>
          <w:szCs w:val="26"/>
        </w:rPr>
      </w:pPr>
      <w:r>
        <w:rPr>
          <w:color w:val="000000"/>
          <w:sz w:val="26"/>
          <w:szCs w:val="26"/>
        </w:rPr>
        <w:t>В соответствии с ч. 11 ст. 48 Закона о контрактной системе н</w:t>
      </w:r>
      <w:r w:rsidRPr="00CB0F2F">
        <w:rPr>
          <w:color w:val="000000"/>
          <w:sz w:val="26"/>
          <w:szCs w:val="26"/>
        </w:rPr>
        <w:t>е позднее двух рабочих дней со дня, следующего за днем получения вторых частей заявок на участие в закупке, информации и документов в соответствии с п</w:t>
      </w:r>
      <w:r>
        <w:rPr>
          <w:color w:val="000000"/>
          <w:sz w:val="26"/>
          <w:szCs w:val="26"/>
        </w:rPr>
        <w:t>.</w:t>
      </w:r>
      <w:r w:rsidRPr="00CB0F2F">
        <w:rPr>
          <w:color w:val="000000"/>
          <w:sz w:val="26"/>
          <w:szCs w:val="26"/>
        </w:rPr>
        <w:t xml:space="preserve"> 2 ч</w:t>
      </w:r>
      <w:r>
        <w:rPr>
          <w:color w:val="000000"/>
          <w:sz w:val="26"/>
          <w:szCs w:val="26"/>
        </w:rPr>
        <w:t>.</w:t>
      </w:r>
      <w:r w:rsidRPr="00CB0F2F">
        <w:rPr>
          <w:color w:val="000000"/>
          <w:sz w:val="26"/>
          <w:szCs w:val="26"/>
        </w:rPr>
        <w:t xml:space="preserve"> 10 </w:t>
      </w:r>
      <w:r>
        <w:rPr>
          <w:color w:val="000000"/>
          <w:sz w:val="26"/>
          <w:szCs w:val="26"/>
        </w:rPr>
        <w:t>ст. 48 Закона о контрактной системе</w:t>
      </w:r>
      <w:r w:rsidRPr="00CB0F2F">
        <w:rPr>
          <w:color w:val="000000"/>
          <w:sz w:val="26"/>
          <w:szCs w:val="26"/>
        </w:rPr>
        <w:t>,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291AA9" w:rsidRPr="00CB0F2F" w:rsidRDefault="00291AA9" w:rsidP="00291AA9">
      <w:pPr>
        <w:ind w:firstLine="539"/>
        <w:jc w:val="both"/>
        <w:rPr>
          <w:color w:val="000000"/>
          <w:sz w:val="26"/>
          <w:szCs w:val="26"/>
        </w:rPr>
      </w:pPr>
      <w:r w:rsidRPr="00CB0F2F">
        <w:rPr>
          <w:color w:val="000000"/>
          <w:sz w:val="26"/>
          <w:szCs w:val="26"/>
        </w:rPr>
        <w:t>1) члены комиссии по осуществлению закупок:</w:t>
      </w:r>
    </w:p>
    <w:p w:rsidR="00291AA9" w:rsidRPr="00CB0F2F" w:rsidRDefault="00291AA9" w:rsidP="00291AA9">
      <w:pPr>
        <w:ind w:firstLine="539"/>
        <w:jc w:val="both"/>
        <w:rPr>
          <w:color w:val="000000"/>
          <w:sz w:val="26"/>
          <w:szCs w:val="26"/>
        </w:rPr>
      </w:pPr>
      <w:r w:rsidRPr="00CB0F2F">
        <w:rPr>
          <w:color w:val="000000"/>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w:t>
      </w:r>
      <w:r>
        <w:rPr>
          <w:color w:val="000000"/>
          <w:sz w:val="26"/>
          <w:szCs w:val="26"/>
        </w:rPr>
        <w:t>.</w:t>
      </w:r>
      <w:r w:rsidRPr="00CB0F2F">
        <w:rPr>
          <w:color w:val="000000"/>
          <w:sz w:val="26"/>
          <w:szCs w:val="26"/>
        </w:rPr>
        <w:t xml:space="preserve"> 2 ч</w:t>
      </w:r>
      <w:r>
        <w:rPr>
          <w:color w:val="000000"/>
          <w:sz w:val="26"/>
          <w:szCs w:val="26"/>
        </w:rPr>
        <w:t xml:space="preserve">. </w:t>
      </w:r>
      <w:r w:rsidRPr="00CB0F2F">
        <w:rPr>
          <w:color w:val="000000"/>
          <w:sz w:val="26"/>
          <w:szCs w:val="26"/>
        </w:rPr>
        <w:t xml:space="preserve">10 </w:t>
      </w:r>
      <w:r>
        <w:rPr>
          <w:color w:val="000000"/>
          <w:sz w:val="26"/>
          <w:szCs w:val="26"/>
        </w:rPr>
        <w:t>ст. 48 Закона о контрактной системе</w:t>
      </w:r>
      <w:r w:rsidRPr="00CB0F2F">
        <w:rPr>
          <w:color w:val="000000"/>
          <w:sz w:val="26"/>
          <w:szCs w:val="26"/>
        </w:rPr>
        <w:t>, и принимают решение о признании второй части заявки на участие в</w:t>
      </w:r>
      <w:r>
        <w:rPr>
          <w:color w:val="000000"/>
          <w:sz w:val="26"/>
          <w:szCs w:val="26"/>
        </w:rPr>
        <w:t xml:space="preserve"> </w:t>
      </w:r>
      <w:r w:rsidRPr="00CB0F2F">
        <w:rPr>
          <w:color w:val="000000"/>
          <w:sz w:val="26"/>
          <w:szCs w:val="26"/>
        </w:rPr>
        <w:t>закупке, соответствующей требованиям извещения об осуществлении закупки или об отклонении заявки на участие в закупке;</w:t>
      </w:r>
    </w:p>
    <w:p w:rsidR="00291AA9" w:rsidRPr="00CB0F2F" w:rsidRDefault="00291AA9" w:rsidP="00291AA9">
      <w:pPr>
        <w:ind w:firstLine="539"/>
        <w:jc w:val="both"/>
        <w:rPr>
          <w:color w:val="000000"/>
          <w:sz w:val="26"/>
          <w:szCs w:val="26"/>
        </w:rPr>
      </w:pPr>
      <w:r w:rsidRPr="00CB0F2F">
        <w:rPr>
          <w:color w:val="000000"/>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w:t>
      </w:r>
      <w:r>
        <w:rPr>
          <w:color w:val="000000"/>
          <w:sz w:val="26"/>
          <w:szCs w:val="26"/>
        </w:rPr>
        <w:t>.</w:t>
      </w:r>
      <w:r w:rsidRPr="00CB0F2F">
        <w:rPr>
          <w:color w:val="000000"/>
          <w:sz w:val="26"/>
          <w:szCs w:val="26"/>
        </w:rPr>
        <w:t xml:space="preserve"> 4 ч</w:t>
      </w:r>
      <w:r>
        <w:rPr>
          <w:color w:val="000000"/>
          <w:sz w:val="26"/>
          <w:szCs w:val="26"/>
        </w:rPr>
        <w:t>.</w:t>
      </w:r>
      <w:r w:rsidRPr="00CB0F2F">
        <w:rPr>
          <w:color w:val="000000"/>
          <w:sz w:val="26"/>
          <w:szCs w:val="26"/>
        </w:rPr>
        <w:t xml:space="preserve"> 1 ст</w:t>
      </w:r>
      <w:r>
        <w:rPr>
          <w:color w:val="000000"/>
          <w:sz w:val="26"/>
          <w:szCs w:val="26"/>
        </w:rPr>
        <w:t>.</w:t>
      </w:r>
      <w:r w:rsidRPr="00CB0F2F">
        <w:rPr>
          <w:color w:val="000000"/>
          <w:sz w:val="26"/>
          <w:szCs w:val="26"/>
        </w:rPr>
        <w:t xml:space="preserve"> 32 </w:t>
      </w:r>
      <w:r>
        <w:rPr>
          <w:color w:val="000000"/>
          <w:sz w:val="26"/>
          <w:szCs w:val="26"/>
        </w:rPr>
        <w:t>Закона о контрактной системе</w:t>
      </w:r>
      <w:r w:rsidRPr="00CB0F2F">
        <w:rPr>
          <w:color w:val="000000"/>
          <w:sz w:val="26"/>
          <w:szCs w:val="26"/>
        </w:rPr>
        <w:t xml:space="preserve"> (если такой критерий установлен извещением об осуществлении закупки);</w:t>
      </w:r>
    </w:p>
    <w:p w:rsidR="00291AA9" w:rsidRDefault="00291AA9" w:rsidP="00291AA9">
      <w:pPr>
        <w:ind w:firstLine="539"/>
        <w:jc w:val="both"/>
        <w:rPr>
          <w:color w:val="000000"/>
          <w:sz w:val="26"/>
          <w:szCs w:val="26"/>
        </w:rPr>
      </w:pPr>
      <w:r w:rsidRPr="00CB0F2F">
        <w:rPr>
          <w:color w:val="000000"/>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291AA9" w:rsidRDefault="00291AA9" w:rsidP="00291AA9">
      <w:pPr>
        <w:ind w:firstLine="539"/>
        <w:jc w:val="both"/>
        <w:rPr>
          <w:bCs/>
          <w:iCs/>
          <w:sz w:val="26"/>
          <w:szCs w:val="26"/>
        </w:rPr>
      </w:pPr>
      <w:r>
        <w:rPr>
          <w:sz w:val="26"/>
          <w:szCs w:val="26"/>
        </w:rPr>
        <w:t xml:space="preserve">Таким образом, по смыслу приведенных выше норм законодательства на рассматриваемом этапе деятельности по публичному заказу в протоколе рассмотрения и оценки заявок на участие в конкурсе </w:t>
      </w:r>
      <w:r>
        <w:rPr>
          <w:bCs/>
          <w:iCs/>
          <w:sz w:val="26"/>
          <w:szCs w:val="26"/>
        </w:rPr>
        <w:t>должен быть отражен не только результат оценки заявок каждого из участников, но и процесс (последовательность проверочных действий, обоснование промежуточных выводов и результатов) присвоения заявкам участников того или иного количества баллов в соответствии с критериями и порядком оценки, установленными в конкурсной документации.</w:t>
      </w:r>
    </w:p>
    <w:p w:rsidR="00291AA9" w:rsidRDefault="00291AA9" w:rsidP="00291AA9">
      <w:pPr>
        <w:ind w:firstLine="539"/>
        <w:jc w:val="both"/>
        <w:rPr>
          <w:bCs/>
          <w:iCs/>
          <w:sz w:val="26"/>
          <w:szCs w:val="26"/>
        </w:rPr>
      </w:pPr>
      <w:r>
        <w:rPr>
          <w:bCs/>
          <w:iCs/>
          <w:sz w:val="26"/>
          <w:szCs w:val="26"/>
        </w:rPr>
        <w:t>В силу ч. 13 ст. 48 Закона о контрактной системе п</w:t>
      </w:r>
      <w:r w:rsidRPr="00023EB4">
        <w:rPr>
          <w:bCs/>
          <w:iCs/>
          <w:sz w:val="26"/>
          <w:szCs w:val="26"/>
        </w:rPr>
        <w:t>ротокол рассмотрения и оценки вторых частей заявок на участие в закупке должен содержать:</w:t>
      </w:r>
    </w:p>
    <w:p w:rsidR="00291AA9" w:rsidRPr="00023EB4" w:rsidRDefault="00291AA9" w:rsidP="00291AA9">
      <w:pPr>
        <w:ind w:firstLine="539"/>
        <w:jc w:val="both"/>
        <w:rPr>
          <w:bCs/>
          <w:iCs/>
          <w:sz w:val="26"/>
          <w:szCs w:val="26"/>
        </w:rPr>
      </w:pPr>
      <w:r w:rsidRPr="00023EB4">
        <w:rPr>
          <w:bCs/>
          <w:iCs/>
          <w:sz w:val="26"/>
          <w:szCs w:val="26"/>
        </w:rPr>
        <w:t>1) дату рассмотрения и оценки вторых частей заявок на участие в закупке, идентификационные номера таких заявок;</w:t>
      </w:r>
    </w:p>
    <w:p w:rsidR="00291AA9" w:rsidRPr="00023EB4" w:rsidRDefault="00291AA9" w:rsidP="00291AA9">
      <w:pPr>
        <w:ind w:firstLine="539"/>
        <w:jc w:val="both"/>
        <w:rPr>
          <w:bCs/>
          <w:iCs/>
          <w:sz w:val="26"/>
          <w:szCs w:val="26"/>
        </w:rPr>
      </w:pPr>
      <w:r w:rsidRPr="00023EB4">
        <w:rPr>
          <w:bCs/>
          <w:iCs/>
          <w:sz w:val="26"/>
          <w:szCs w:val="26"/>
        </w:rPr>
        <w:t xml:space="preserve">2) информацию о принятом решении о признании второй части заявки на участие в закупке соответствующей извещению об осуществлении закупки или об </w:t>
      </w:r>
      <w:r w:rsidRPr="00023EB4">
        <w:rPr>
          <w:bCs/>
          <w:iCs/>
          <w:sz w:val="26"/>
          <w:szCs w:val="26"/>
        </w:rPr>
        <w:lastRenderedPageBreak/>
        <w:t>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291AA9" w:rsidRPr="00023EB4" w:rsidRDefault="00291AA9" w:rsidP="00291AA9">
      <w:pPr>
        <w:ind w:firstLine="539"/>
        <w:jc w:val="both"/>
        <w:rPr>
          <w:bCs/>
          <w:iCs/>
          <w:sz w:val="26"/>
          <w:szCs w:val="26"/>
        </w:rPr>
      </w:pPr>
      <w:r w:rsidRPr="00023EB4">
        <w:rPr>
          <w:bCs/>
          <w:iCs/>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w:t>
      </w:r>
      <w:r>
        <w:rPr>
          <w:bCs/>
          <w:iCs/>
          <w:sz w:val="26"/>
          <w:szCs w:val="26"/>
        </w:rPr>
        <w:t>.</w:t>
      </w:r>
      <w:r w:rsidRPr="00023EB4">
        <w:rPr>
          <w:bCs/>
          <w:iCs/>
          <w:sz w:val="26"/>
          <w:szCs w:val="26"/>
        </w:rPr>
        <w:t xml:space="preserve"> 4 ч</w:t>
      </w:r>
      <w:r>
        <w:rPr>
          <w:bCs/>
          <w:iCs/>
          <w:sz w:val="26"/>
          <w:szCs w:val="26"/>
        </w:rPr>
        <w:t>.</w:t>
      </w:r>
      <w:r w:rsidRPr="00023EB4">
        <w:rPr>
          <w:bCs/>
          <w:iCs/>
          <w:sz w:val="26"/>
          <w:szCs w:val="26"/>
        </w:rPr>
        <w:t xml:space="preserve"> 1 ст</w:t>
      </w:r>
      <w:r>
        <w:rPr>
          <w:bCs/>
          <w:iCs/>
          <w:sz w:val="26"/>
          <w:szCs w:val="26"/>
        </w:rPr>
        <w:t>.</w:t>
      </w:r>
      <w:r w:rsidRPr="00023EB4">
        <w:rPr>
          <w:bCs/>
          <w:iCs/>
          <w:sz w:val="26"/>
          <w:szCs w:val="26"/>
        </w:rPr>
        <w:t xml:space="preserve"> 32 </w:t>
      </w:r>
      <w:r>
        <w:rPr>
          <w:bCs/>
          <w:iCs/>
          <w:sz w:val="26"/>
          <w:szCs w:val="26"/>
        </w:rPr>
        <w:t>Закона о контрактной системе</w:t>
      </w:r>
      <w:r w:rsidRPr="00023EB4">
        <w:rPr>
          <w:bCs/>
          <w:iCs/>
          <w:sz w:val="26"/>
          <w:szCs w:val="26"/>
        </w:rPr>
        <w:t xml:space="preserve"> (в случае установления такого критерия в извещении об осуществлении закупки);</w:t>
      </w:r>
    </w:p>
    <w:p w:rsidR="00291AA9" w:rsidRPr="00023EB4" w:rsidRDefault="00291AA9" w:rsidP="00291AA9">
      <w:pPr>
        <w:ind w:firstLine="539"/>
        <w:jc w:val="both"/>
        <w:rPr>
          <w:bCs/>
          <w:iCs/>
          <w:sz w:val="26"/>
          <w:szCs w:val="26"/>
        </w:rPr>
      </w:pPr>
      <w:r w:rsidRPr="00023EB4">
        <w:rPr>
          <w:bCs/>
          <w:iCs/>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291AA9" w:rsidRPr="00023EB4" w:rsidRDefault="00291AA9" w:rsidP="00291AA9">
      <w:pPr>
        <w:ind w:firstLine="539"/>
        <w:jc w:val="both"/>
        <w:rPr>
          <w:bCs/>
          <w:iCs/>
          <w:sz w:val="26"/>
          <w:szCs w:val="26"/>
        </w:rPr>
      </w:pPr>
      <w:r w:rsidRPr="00023EB4">
        <w:rPr>
          <w:bCs/>
          <w:iCs/>
          <w:sz w:val="26"/>
          <w:szCs w:val="26"/>
        </w:rPr>
        <w:t>5) информацию о признании определения поставщика (подрядчика, исполнителя) несостоявшимся в случаях, предусмотренных п</w:t>
      </w:r>
      <w:r>
        <w:rPr>
          <w:bCs/>
          <w:iCs/>
          <w:sz w:val="26"/>
          <w:szCs w:val="26"/>
        </w:rPr>
        <w:t>.</w:t>
      </w:r>
      <w:r w:rsidRPr="00023EB4">
        <w:rPr>
          <w:bCs/>
          <w:iCs/>
          <w:sz w:val="26"/>
          <w:szCs w:val="26"/>
        </w:rPr>
        <w:t xml:space="preserve"> 2 и 4 ч</w:t>
      </w:r>
      <w:r>
        <w:rPr>
          <w:bCs/>
          <w:iCs/>
          <w:sz w:val="26"/>
          <w:szCs w:val="26"/>
        </w:rPr>
        <w:t xml:space="preserve">. </w:t>
      </w:r>
      <w:r w:rsidRPr="00023EB4">
        <w:rPr>
          <w:bCs/>
          <w:iCs/>
          <w:sz w:val="26"/>
          <w:szCs w:val="26"/>
        </w:rPr>
        <w:t>1 ст</w:t>
      </w:r>
      <w:r>
        <w:rPr>
          <w:bCs/>
          <w:iCs/>
          <w:sz w:val="26"/>
          <w:szCs w:val="26"/>
        </w:rPr>
        <w:t>.</w:t>
      </w:r>
      <w:r w:rsidRPr="00023EB4">
        <w:rPr>
          <w:bCs/>
          <w:iCs/>
          <w:sz w:val="26"/>
          <w:szCs w:val="26"/>
        </w:rPr>
        <w:t xml:space="preserve"> 52 </w:t>
      </w:r>
      <w:r>
        <w:rPr>
          <w:bCs/>
          <w:iCs/>
          <w:sz w:val="26"/>
          <w:szCs w:val="26"/>
        </w:rPr>
        <w:t>Закона о контрактной системе</w:t>
      </w:r>
      <w:r w:rsidRPr="00023EB4">
        <w:rPr>
          <w:bCs/>
          <w:iCs/>
          <w:sz w:val="26"/>
          <w:szCs w:val="26"/>
        </w:rPr>
        <w:t>.</w:t>
      </w:r>
    </w:p>
    <w:p w:rsidR="00291AA9" w:rsidRDefault="00291AA9" w:rsidP="00291AA9">
      <w:pPr>
        <w:ind w:firstLine="539"/>
        <w:jc w:val="both"/>
        <w:rPr>
          <w:bCs/>
          <w:iCs/>
          <w:sz w:val="26"/>
          <w:szCs w:val="26"/>
        </w:rPr>
      </w:pPr>
      <w:r>
        <w:rPr>
          <w:bCs/>
          <w:iCs/>
          <w:sz w:val="26"/>
          <w:szCs w:val="26"/>
        </w:rPr>
        <w:t xml:space="preserve">Анализ </w:t>
      </w:r>
      <w:r w:rsidR="00D56D1F">
        <w:rPr>
          <w:bCs/>
          <w:iCs/>
          <w:sz w:val="26"/>
          <w:szCs w:val="26"/>
        </w:rPr>
        <w:t>п</w:t>
      </w:r>
      <w:r w:rsidR="00D56D1F" w:rsidRPr="00D56D1F">
        <w:rPr>
          <w:bCs/>
          <w:iCs/>
          <w:sz w:val="26"/>
          <w:szCs w:val="26"/>
        </w:rPr>
        <w:t>ротокол рассмотрения и оценки вторых частей заявок на участие в открытом конкурсе в электронной форме от 04.12.2023 №ПРОII2</w:t>
      </w:r>
      <w:r>
        <w:rPr>
          <w:bCs/>
          <w:iCs/>
          <w:sz w:val="26"/>
          <w:szCs w:val="26"/>
        </w:rPr>
        <w:t xml:space="preserve"> показал, что в нём содержится следующая информация о порядке оценки:</w:t>
      </w:r>
    </w:p>
    <w:tbl>
      <w:tblPr>
        <w:tblW w:w="5000" w:type="pct"/>
        <w:tblLook w:val="04A0" w:firstRow="1" w:lastRow="0" w:firstColumn="1" w:lastColumn="0" w:noHBand="0" w:noVBand="1"/>
      </w:tblPr>
      <w:tblGrid>
        <w:gridCol w:w="992"/>
        <w:gridCol w:w="1284"/>
        <w:gridCol w:w="1126"/>
        <w:gridCol w:w="1496"/>
        <w:gridCol w:w="1269"/>
        <w:gridCol w:w="1047"/>
        <w:gridCol w:w="1132"/>
        <w:gridCol w:w="999"/>
      </w:tblGrid>
      <w:tr w:rsidR="00D56D1F" w:rsidTr="00185A5E">
        <w:trPr>
          <w:trHeight w:val="84"/>
        </w:trPr>
        <w:tc>
          <w:tcPr>
            <w:tcW w:w="372"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jc w:val="center"/>
              <w:rPr>
                <w:rFonts w:cs="Lohit Devanagari"/>
                <w:color w:val="00000A"/>
                <w:sz w:val="18"/>
                <w:szCs w:val="18"/>
                <w:lang w:eastAsia="zh-CN" w:bidi="hi-IN"/>
              </w:rPr>
            </w:pPr>
            <w:r>
              <w:rPr>
                <w:b/>
                <w:bCs/>
                <w:color w:val="00000A"/>
                <w:sz w:val="18"/>
                <w:szCs w:val="18"/>
                <w:lang w:eastAsia="zh-CN" w:bidi="hi-IN"/>
              </w:rPr>
              <w:t>Номер заявки</w:t>
            </w:r>
          </w:p>
        </w:tc>
        <w:tc>
          <w:tcPr>
            <w:tcW w:w="431"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jc w:val="center"/>
              <w:rPr>
                <w:rFonts w:cs="Lohit Devanagari"/>
                <w:color w:val="00000A"/>
                <w:sz w:val="18"/>
                <w:szCs w:val="18"/>
                <w:lang w:eastAsia="zh-CN" w:bidi="hi-IN"/>
              </w:rPr>
            </w:pPr>
            <w:r>
              <w:rPr>
                <w:b/>
                <w:bCs/>
                <w:color w:val="00000A"/>
                <w:sz w:val="18"/>
                <w:szCs w:val="18"/>
                <w:lang w:eastAsia="zh-CN" w:bidi="hi-IN"/>
              </w:rPr>
              <w:t>Решение комиссии</w:t>
            </w:r>
          </w:p>
        </w:tc>
        <w:tc>
          <w:tcPr>
            <w:tcW w:w="662" w:type="pct"/>
            <w:tcBorders>
              <w:top w:val="single" w:sz="4" w:space="0" w:color="000000"/>
              <w:left w:val="single" w:sz="4" w:space="0" w:color="000000"/>
              <w:bottom w:val="single" w:sz="4" w:space="0" w:color="auto"/>
              <w:right w:val="single" w:sz="4" w:space="0" w:color="000000"/>
            </w:tcBorders>
            <w:vAlign w:val="center"/>
            <w:hideMark/>
          </w:tcPr>
          <w:p w:rsidR="00D56D1F" w:rsidRDefault="00D56D1F" w:rsidP="00185A5E">
            <w:pPr>
              <w:widowControl w:val="0"/>
              <w:spacing w:line="264" w:lineRule="auto"/>
              <w:jc w:val="center"/>
              <w:rPr>
                <w:b/>
                <w:bCs/>
                <w:color w:val="00000A"/>
                <w:sz w:val="18"/>
                <w:szCs w:val="18"/>
                <w:lang w:eastAsia="zh-CN" w:bidi="hi-IN"/>
              </w:rPr>
            </w:pPr>
            <w:r>
              <w:rPr>
                <w:b/>
                <w:color w:val="00000A"/>
                <w:sz w:val="18"/>
                <w:szCs w:val="18"/>
                <w:lang w:eastAsia="zh-CN" w:bidi="hi-IN"/>
              </w:rPr>
              <w:t>Показатель оценки</w:t>
            </w:r>
          </w:p>
        </w:tc>
        <w:tc>
          <w:tcPr>
            <w:tcW w:w="1892" w:type="pct"/>
            <w:tcBorders>
              <w:top w:val="single" w:sz="4" w:space="0" w:color="000000"/>
              <w:left w:val="single" w:sz="4" w:space="0" w:color="000000"/>
              <w:bottom w:val="single" w:sz="4" w:space="0" w:color="auto"/>
              <w:right w:val="single" w:sz="4" w:space="0" w:color="000000"/>
            </w:tcBorders>
            <w:vAlign w:val="center"/>
            <w:hideMark/>
          </w:tcPr>
          <w:p w:rsidR="00D56D1F" w:rsidRDefault="00D56D1F" w:rsidP="00185A5E">
            <w:pPr>
              <w:widowControl w:val="0"/>
              <w:autoSpaceDE w:val="0"/>
              <w:autoSpaceDN w:val="0"/>
              <w:adjustRightInd w:val="0"/>
              <w:ind w:left="-81" w:right="-63"/>
              <w:jc w:val="center"/>
              <w:rPr>
                <w:b/>
                <w:sz w:val="18"/>
                <w:szCs w:val="18"/>
              </w:rPr>
            </w:pPr>
            <w:r>
              <w:rPr>
                <w:b/>
                <w:sz w:val="18"/>
                <w:szCs w:val="18"/>
              </w:rPr>
              <w:t>Показатель оценки, детализирующий</w:t>
            </w:r>
          </w:p>
          <w:p w:rsidR="00D56D1F" w:rsidRDefault="00D56D1F" w:rsidP="00185A5E">
            <w:pPr>
              <w:widowControl w:val="0"/>
              <w:spacing w:line="264" w:lineRule="auto"/>
              <w:jc w:val="center"/>
              <w:rPr>
                <w:b/>
                <w:bCs/>
                <w:color w:val="00000A"/>
                <w:sz w:val="18"/>
                <w:szCs w:val="18"/>
                <w:lang w:eastAsia="zh-CN" w:bidi="hi-IN"/>
              </w:rPr>
            </w:pPr>
            <w:r>
              <w:rPr>
                <w:b/>
                <w:color w:val="00000A"/>
                <w:sz w:val="18"/>
                <w:szCs w:val="18"/>
                <w:lang w:eastAsia="zh-CN" w:bidi="hi-IN"/>
              </w:rPr>
              <w:t>показатель оценки</w:t>
            </w:r>
          </w:p>
        </w:tc>
        <w:tc>
          <w:tcPr>
            <w:tcW w:w="473"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rFonts w:cs="Lohit Devanagari"/>
                <w:color w:val="00000A"/>
                <w:sz w:val="18"/>
                <w:szCs w:val="18"/>
                <w:lang w:eastAsia="zh-CN" w:bidi="hi-IN"/>
              </w:rPr>
            </w:pPr>
            <w:r>
              <w:rPr>
                <w:b/>
                <w:bCs/>
                <w:color w:val="00000A"/>
                <w:sz w:val="18"/>
                <w:szCs w:val="18"/>
                <w:lang w:eastAsia="zh-CN" w:bidi="hi-IN"/>
              </w:rPr>
              <w:t>Предложение участника</w:t>
            </w:r>
          </w:p>
        </w:tc>
        <w:tc>
          <w:tcPr>
            <w:tcW w:w="425"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b/>
                <w:bCs/>
                <w:color w:val="00000A"/>
                <w:sz w:val="18"/>
                <w:szCs w:val="18"/>
                <w:lang w:eastAsia="zh-CN" w:bidi="hi-IN"/>
              </w:rPr>
            </w:pPr>
            <w:r>
              <w:rPr>
                <w:b/>
                <w:bCs/>
                <w:color w:val="00000A"/>
                <w:sz w:val="18"/>
                <w:szCs w:val="18"/>
                <w:lang w:eastAsia="zh-CN" w:bidi="hi-IN"/>
              </w:rPr>
              <w:t>Принято  комиссией</w:t>
            </w:r>
          </w:p>
        </w:tc>
        <w:tc>
          <w:tcPr>
            <w:tcW w:w="379"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b/>
                <w:bCs/>
                <w:color w:val="00000A"/>
                <w:sz w:val="18"/>
                <w:szCs w:val="18"/>
                <w:lang w:eastAsia="zh-CN" w:bidi="hi-IN"/>
              </w:rPr>
            </w:pPr>
            <w:r>
              <w:rPr>
                <w:b/>
                <w:bCs/>
                <w:color w:val="00000A"/>
                <w:sz w:val="18"/>
                <w:szCs w:val="18"/>
                <w:lang w:eastAsia="zh-CN" w:bidi="hi-IN"/>
              </w:rPr>
              <w:t xml:space="preserve">Оценка по показателю </w:t>
            </w:r>
          </w:p>
          <w:p w:rsidR="00D56D1F" w:rsidRDefault="00D56D1F" w:rsidP="00185A5E">
            <w:pPr>
              <w:widowControl w:val="0"/>
              <w:spacing w:line="264" w:lineRule="auto"/>
              <w:jc w:val="center"/>
              <w:rPr>
                <w:bCs/>
                <w:i/>
                <w:color w:val="00000A"/>
                <w:sz w:val="12"/>
                <w:szCs w:val="12"/>
                <w:lang w:eastAsia="zh-CN" w:bidi="hi-IN"/>
              </w:rPr>
            </w:pPr>
            <w:r>
              <w:rPr>
                <w:bCs/>
                <w:i/>
                <w:color w:val="00000A"/>
                <w:sz w:val="12"/>
                <w:szCs w:val="12"/>
                <w:lang w:eastAsia="zh-CN" w:bidi="hi-IN"/>
              </w:rPr>
              <w:t xml:space="preserve">без учета / </w:t>
            </w:r>
          </w:p>
          <w:p w:rsidR="00D56D1F" w:rsidRDefault="00D56D1F" w:rsidP="00185A5E">
            <w:pPr>
              <w:widowControl w:val="0"/>
              <w:spacing w:line="264" w:lineRule="auto"/>
              <w:jc w:val="center"/>
              <w:rPr>
                <w:rFonts w:cs="Lohit Devanagari"/>
                <w:color w:val="00000A"/>
                <w:sz w:val="18"/>
                <w:szCs w:val="18"/>
                <w:lang w:eastAsia="zh-CN" w:bidi="hi-IN"/>
              </w:rPr>
            </w:pPr>
            <w:r>
              <w:rPr>
                <w:bCs/>
                <w:i/>
                <w:color w:val="00000A"/>
                <w:sz w:val="12"/>
                <w:szCs w:val="12"/>
                <w:lang w:eastAsia="zh-CN" w:bidi="hi-IN"/>
              </w:rPr>
              <w:t>с учетом значимости</w:t>
            </w:r>
          </w:p>
        </w:tc>
        <w:tc>
          <w:tcPr>
            <w:tcW w:w="366"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b/>
                <w:bCs/>
                <w:color w:val="00000A"/>
                <w:sz w:val="18"/>
                <w:szCs w:val="18"/>
                <w:lang w:eastAsia="zh-CN" w:bidi="hi-IN"/>
              </w:rPr>
            </w:pPr>
            <w:r>
              <w:rPr>
                <w:b/>
                <w:bCs/>
                <w:color w:val="00000A"/>
                <w:sz w:val="18"/>
                <w:szCs w:val="18"/>
                <w:lang w:eastAsia="zh-CN" w:bidi="hi-IN"/>
              </w:rPr>
              <w:t xml:space="preserve">Оценка по критерию </w:t>
            </w:r>
          </w:p>
          <w:p w:rsidR="00D56D1F" w:rsidRDefault="00D56D1F" w:rsidP="00185A5E">
            <w:pPr>
              <w:widowControl w:val="0"/>
              <w:spacing w:line="264" w:lineRule="auto"/>
              <w:jc w:val="center"/>
              <w:rPr>
                <w:bCs/>
                <w:i/>
                <w:color w:val="00000A"/>
                <w:sz w:val="12"/>
                <w:szCs w:val="12"/>
                <w:lang w:eastAsia="zh-CN" w:bidi="hi-IN"/>
              </w:rPr>
            </w:pPr>
            <w:r>
              <w:rPr>
                <w:bCs/>
                <w:i/>
                <w:color w:val="00000A"/>
                <w:sz w:val="12"/>
                <w:szCs w:val="12"/>
                <w:lang w:eastAsia="zh-CN" w:bidi="hi-IN"/>
              </w:rPr>
              <w:t xml:space="preserve">без учета / </w:t>
            </w:r>
          </w:p>
          <w:p w:rsidR="00D56D1F" w:rsidRDefault="00D56D1F" w:rsidP="00185A5E">
            <w:pPr>
              <w:widowControl w:val="0"/>
              <w:spacing w:line="264" w:lineRule="auto"/>
              <w:jc w:val="center"/>
              <w:rPr>
                <w:rFonts w:cs="Lohit Devanagari"/>
                <w:color w:val="00000A"/>
                <w:sz w:val="18"/>
                <w:szCs w:val="18"/>
                <w:lang w:eastAsia="zh-CN" w:bidi="hi-IN"/>
              </w:rPr>
            </w:pPr>
            <w:r>
              <w:rPr>
                <w:bCs/>
                <w:i/>
                <w:color w:val="00000A"/>
                <w:sz w:val="12"/>
                <w:szCs w:val="12"/>
                <w:lang w:eastAsia="zh-CN" w:bidi="hi-IN"/>
              </w:rPr>
              <w:t>с учетом значимости</w:t>
            </w:r>
          </w:p>
        </w:tc>
      </w:tr>
      <w:tr w:rsidR="00D56D1F" w:rsidTr="00185A5E">
        <w:trPr>
          <w:trHeight w:val="357"/>
        </w:trPr>
        <w:tc>
          <w:tcPr>
            <w:tcW w:w="372" w:type="pct"/>
            <w:vMerge w:val="restart"/>
            <w:tcBorders>
              <w:top w:val="single" w:sz="4" w:space="0" w:color="000000"/>
              <w:left w:val="single" w:sz="4" w:space="0" w:color="000000"/>
              <w:bottom w:val="single" w:sz="4" w:space="0" w:color="000000"/>
              <w:right w:val="single" w:sz="4" w:space="0" w:color="000000"/>
            </w:tcBorders>
          </w:tcPr>
          <w:p w:rsidR="00D56D1F" w:rsidRDefault="00D56D1F" w:rsidP="00185A5E">
            <w:pPr>
              <w:widowControl w:val="0"/>
              <w:spacing w:line="264" w:lineRule="auto"/>
              <w:jc w:val="center"/>
              <w:rPr>
                <w:b/>
                <w:color w:val="000000"/>
                <w:sz w:val="18"/>
                <w:szCs w:val="18"/>
                <w:lang w:eastAsia="zh-CN" w:bidi="hi-IN"/>
              </w:rPr>
            </w:pPr>
            <w:r w:rsidRPr="00DB22E2">
              <w:rPr>
                <w:b/>
                <w:color w:val="000000"/>
                <w:sz w:val="18"/>
                <w:szCs w:val="18"/>
                <w:lang w:val="en-US" w:eastAsia="zh-CN" w:bidi="hi-IN"/>
              </w:rPr>
              <w:t>115288430</w:t>
            </w:r>
            <w:r>
              <w:rPr>
                <w:b/>
                <w:color w:val="000000"/>
                <w:sz w:val="18"/>
                <w:szCs w:val="18"/>
                <w:lang w:eastAsia="zh-CN" w:bidi="hi-IN"/>
              </w:rPr>
              <w:br/>
            </w:r>
          </w:p>
          <w:p w:rsidR="00D56D1F" w:rsidRDefault="00D56D1F" w:rsidP="00185A5E">
            <w:pPr>
              <w:widowControl w:val="0"/>
              <w:spacing w:line="264" w:lineRule="auto"/>
              <w:rPr>
                <w:rFonts w:cs="Lohit Devanagari"/>
                <w:color w:val="00000A"/>
                <w:sz w:val="18"/>
                <w:szCs w:val="18"/>
                <w:lang w:eastAsia="zh-CN" w:bidi="hi-IN"/>
              </w:rPr>
            </w:pPr>
          </w:p>
        </w:tc>
        <w:tc>
          <w:tcPr>
            <w:tcW w:w="431" w:type="pct"/>
            <w:vMerge w:val="restart"/>
            <w:tcBorders>
              <w:top w:val="single" w:sz="4" w:space="0" w:color="000000"/>
              <w:left w:val="single" w:sz="4" w:space="0" w:color="000000"/>
              <w:bottom w:val="single" w:sz="4" w:space="0" w:color="000000"/>
              <w:right w:val="single" w:sz="4" w:space="0" w:color="auto"/>
            </w:tcBorders>
          </w:tcPr>
          <w:p w:rsidR="00D56D1F" w:rsidRDefault="00D56D1F" w:rsidP="00185A5E">
            <w:pPr>
              <w:widowControl w:val="0"/>
              <w:spacing w:line="264" w:lineRule="auto"/>
              <w:rPr>
                <w:rFonts w:cs="Lohit Devanagari"/>
                <w:color w:val="00000A"/>
                <w:sz w:val="18"/>
                <w:szCs w:val="18"/>
                <w:lang w:eastAsia="zh-CN" w:bidi="hi-IN"/>
              </w:rPr>
            </w:pPr>
            <w:r>
              <w:rPr>
                <w:color w:val="000000"/>
                <w:sz w:val="18"/>
                <w:szCs w:val="18"/>
                <w:lang w:val="en-US" w:eastAsia="zh-CN" w:bidi="hi-IN"/>
              </w:rPr>
              <w:t>Соответствует</w:t>
            </w:r>
          </w:p>
          <w:p w:rsidR="00D56D1F" w:rsidRDefault="00D56D1F" w:rsidP="00185A5E">
            <w:pPr>
              <w:widowControl w:val="0"/>
              <w:spacing w:line="264" w:lineRule="auto"/>
              <w:rPr>
                <w:rFonts w:cs="Lohit Devanagari"/>
                <w:color w:val="00000A"/>
                <w:sz w:val="18"/>
                <w:szCs w:val="18"/>
                <w:lang w:eastAsia="zh-CN" w:bidi="hi-IN"/>
              </w:rPr>
            </w:pPr>
          </w:p>
        </w:tc>
        <w:tc>
          <w:tcPr>
            <w:tcW w:w="662" w:type="pct"/>
            <w:vMerge w:val="restart"/>
            <w:tcBorders>
              <w:top w:val="single" w:sz="4" w:space="0" w:color="auto"/>
              <w:left w:val="single" w:sz="4" w:space="0" w:color="auto"/>
              <w:bottom w:val="single" w:sz="4" w:space="0" w:color="auto"/>
              <w:right w:val="single" w:sz="4" w:space="0" w:color="auto"/>
            </w:tcBorders>
            <w:hideMark/>
          </w:tcPr>
          <w:p w:rsidR="00D56D1F" w:rsidRDefault="00D56D1F" w:rsidP="00185A5E">
            <w:pPr>
              <w:widowControl w:val="0"/>
              <w:spacing w:line="264" w:lineRule="auto"/>
              <w:rPr>
                <w:rFonts w:cs="Lohit Devanagari"/>
                <w:b/>
                <w:color w:val="00000A"/>
                <w:sz w:val="18"/>
                <w:szCs w:val="18"/>
                <w:lang w:bidi="hi-IN"/>
              </w:rPr>
            </w:pPr>
            <w:r>
              <w:rPr>
                <w:color w:val="00000A"/>
                <w:sz w:val="18"/>
                <w:szCs w:val="18"/>
                <w:lang w:eastAsia="zh-CN" w:bidi="hi-IN"/>
              </w:rPr>
              <w:t xml:space="preserve">Наличие у участников закупки </w:t>
            </w:r>
            <w:r>
              <w:rPr>
                <w:b/>
                <w:color w:val="00000A"/>
                <w:sz w:val="18"/>
                <w:szCs w:val="18"/>
                <w:lang w:eastAsia="zh-CN" w:bidi="hi-IN"/>
              </w:rPr>
              <w:t>опыта</w:t>
            </w:r>
            <w:r>
              <w:rPr>
                <w:color w:val="00000A"/>
                <w:sz w:val="18"/>
                <w:szCs w:val="18"/>
                <w:lang w:eastAsia="zh-CN" w:bidi="hi-IN"/>
              </w:rPr>
              <w:t xml:space="preserve"> работы, связанного с предметом контракта</w:t>
            </w:r>
          </w:p>
        </w:tc>
        <w:tc>
          <w:tcPr>
            <w:tcW w:w="1892" w:type="pct"/>
            <w:tcBorders>
              <w:top w:val="single" w:sz="4" w:space="0" w:color="auto"/>
              <w:left w:val="single" w:sz="4" w:space="0" w:color="auto"/>
              <w:bottom w:val="nil"/>
              <w:right w:val="single" w:sz="4" w:space="0" w:color="auto"/>
            </w:tcBorders>
            <w:hideMark/>
          </w:tcPr>
          <w:p w:rsidR="00D56D1F" w:rsidRDefault="00D56D1F" w:rsidP="00185A5E">
            <w:pPr>
              <w:widowControl w:val="0"/>
              <w:tabs>
                <w:tab w:val="left" w:pos="3002"/>
              </w:tabs>
              <w:autoSpaceDE w:val="0"/>
              <w:autoSpaceDN w:val="0"/>
              <w:adjustRightInd w:val="0"/>
              <w:rPr>
                <w:sz w:val="18"/>
                <w:szCs w:val="18"/>
              </w:rPr>
            </w:pPr>
            <w:r>
              <w:rPr>
                <w:b/>
                <w:sz w:val="18"/>
                <w:szCs w:val="18"/>
              </w:rPr>
              <w:t>характеристика квалификации участников закупки № 1</w:t>
            </w:r>
            <w:r>
              <w:rPr>
                <w:i/>
                <w:sz w:val="18"/>
                <w:szCs w:val="18"/>
              </w:rPr>
              <w:t xml:space="preserve"> (общее количество исполненных участником закупки договоров). </w:t>
            </w:r>
          </w:p>
        </w:tc>
        <w:tc>
          <w:tcPr>
            <w:tcW w:w="473" w:type="pct"/>
            <w:tcBorders>
              <w:top w:val="single" w:sz="4" w:space="0" w:color="000000"/>
              <w:left w:val="single" w:sz="4" w:space="0" w:color="auto"/>
              <w:bottom w:val="nil"/>
              <w:right w:val="single" w:sz="4" w:space="0" w:color="000000"/>
            </w:tcBorders>
            <w:vAlign w:val="center"/>
            <w:hideMark/>
          </w:tcPr>
          <w:p w:rsidR="00D56D1F" w:rsidRDefault="00D56D1F" w:rsidP="00185A5E">
            <w:pPr>
              <w:widowControl w:val="0"/>
              <w:spacing w:line="264" w:lineRule="auto"/>
              <w:jc w:val="center"/>
              <w:rPr>
                <w:rFonts w:cs="Lohit Devanagari"/>
                <w:color w:val="00000A"/>
                <w:sz w:val="18"/>
                <w:szCs w:val="18"/>
                <w:lang w:eastAsia="zh-CN" w:bidi="hi-IN"/>
              </w:rPr>
            </w:pPr>
            <w:r>
              <w:rPr>
                <w:rFonts w:cs="Lohit Devanagari"/>
                <w:color w:val="00000A"/>
                <w:sz w:val="18"/>
                <w:szCs w:val="18"/>
                <w:lang w:eastAsia="zh-CN" w:bidi="hi-IN"/>
              </w:rPr>
              <w:t>78</w:t>
            </w:r>
          </w:p>
        </w:tc>
        <w:tc>
          <w:tcPr>
            <w:tcW w:w="425" w:type="pct"/>
            <w:tcBorders>
              <w:top w:val="single" w:sz="4" w:space="0" w:color="000000"/>
              <w:left w:val="single" w:sz="4" w:space="0" w:color="000000"/>
              <w:bottom w:val="nil"/>
              <w:right w:val="single" w:sz="4" w:space="0" w:color="000000"/>
            </w:tcBorders>
            <w:vAlign w:val="center"/>
            <w:hideMark/>
          </w:tcPr>
          <w:p w:rsidR="00D56D1F" w:rsidRDefault="00D56D1F" w:rsidP="00185A5E">
            <w:pPr>
              <w:widowControl w:val="0"/>
              <w:spacing w:line="264" w:lineRule="auto"/>
              <w:jc w:val="center"/>
              <w:rPr>
                <w:rFonts w:cs="Lohit Devanagari"/>
                <w:color w:val="00000A"/>
                <w:sz w:val="18"/>
                <w:szCs w:val="18"/>
                <w:lang w:eastAsia="zh-CN" w:bidi="hi-IN"/>
              </w:rPr>
            </w:pPr>
            <w:r>
              <w:rPr>
                <w:rFonts w:cs="Lohit Devanagari"/>
                <w:color w:val="00000A"/>
                <w:sz w:val="18"/>
                <w:szCs w:val="18"/>
                <w:lang w:eastAsia="zh-CN" w:bidi="hi-IN"/>
              </w:rPr>
              <w:t>78</w:t>
            </w:r>
          </w:p>
        </w:tc>
        <w:tc>
          <w:tcPr>
            <w:tcW w:w="379" w:type="pct"/>
            <w:tcBorders>
              <w:top w:val="single" w:sz="4" w:space="0" w:color="000000"/>
              <w:left w:val="single" w:sz="4" w:space="0" w:color="000000"/>
              <w:bottom w:val="nil"/>
              <w:right w:val="single" w:sz="4" w:space="0" w:color="000000"/>
            </w:tcBorders>
            <w:vAlign w:val="center"/>
            <w:hideMark/>
          </w:tcPr>
          <w:p w:rsidR="00D56D1F" w:rsidRDefault="00D56D1F" w:rsidP="00185A5E">
            <w:pPr>
              <w:widowControl w:val="0"/>
              <w:spacing w:line="264" w:lineRule="auto"/>
              <w:jc w:val="center"/>
              <w:rPr>
                <w:color w:val="000000"/>
                <w:sz w:val="20"/>
                <w:szCs w:val="20"/>
                <w:lang w:eastAsia="zh-CN" w:bidi="hi-IN"/>
              </w:rPr>
            </w:pPr>
            <w:r>
              <w:rPr>
                <w:color w:val="000000"/>
                <w:sz w:val="20"/>
                <w:szCs w:val="20"/>
                <w:lang w:eastAsia="zh-CN" w:bidi="hi-IN"/>
              </w:rPr>
              <w:t>100/80</w:t>
            </w:r>
          </w:p>
        </w:tc>
        <w:tc>
          <w:tcPr>
            <w:tcW w:w="366" w:type="pct"/>
            <w:vMerge w:val="restart"/>
            <w:tcBorders>
              <w:top w:val="single" w:sz="4" w:space="0" w:color="000000"/>
              <w:left w:val="single" w:sz="4" w:space="0" w:color="000000"/>
              <w:bottom w:val="single" w:sz="4" w:space="0" w:color="000000"/>
              <w:right w:val="single" w:sz="4" w:space="0" w:color="000000"/>
            </w:tcBorders>
            <w:vAlign w:val="center"/>
            <w:hideMark/>
          </w:tcPr>
          <w:p w:rsidR="00D56D1F" w:rsidRPr="00DB22E2" w:rsidRDefault="00D56D1F" w:rsidP="00185A5E">
            <w:pPr>
              <w:widowControl w:val="0"/>
              <w:spacing w:line="264" w:lineRule="auto"/>
              <w:jc w:val="center"/>
              <w:rPr>
                <w:rFonts w:cs="Lohit Devanagari"/>
                <w:color w:val="00000A"/>
                <w:sz w:val="20"/>
                <w:szCs w:val="20"/>
                <w:lang w:eastAsia="zh-CN" w:bidi="hi-IN"/>
              </w:rPr>
            </w:pPr>
            <w:r w:rsidRPr="00DB22E2">
              <w:rPr>
                <w:rFonts w:cs="Lohit Devanagari"/>
                <w:color w:val="00000A"/>
                <w:sz w:val="20"/>
                <w:szCs w:val="20"/>
                <w:lang w:eastAsia="zh-CN" w:bidi="hi-IN"/>
              </w:rPr>
              <w:t>80,03/</w:t>
            </w:r>
          </w:p>
          <w:p w:rsidR="00D56D1F" w:rsidRPr="00DB22E2" w:rsidRDefault="00D56D1F" w:rsidP="00185A5E">
            <w:pPr>
              <w:widowControl w:val="0"/>
              <w:spacing w:line="264" w:lineRule="auto"/>
              <w:jc w:val="center"/>
              <w:rPr>
                <w:rFonts w:cs="Lohit Devanagari"/>
                <w:b/>
                <w:color w:val="00000A"/>
                <w:sz w:val="20"/>
                <w:szCs w:val="20"/>
                <w:lang w:eastAsia="zh-CN" w:bidi="hi-IN"/>
              </w:rPr>
            </w:pPr>
            <w:r w:rsidRPr="00DB22E2">
              <w:rPr>
                <w:rFonts w:cs="Lohit Devanagari"/>
                <w:b/>
                <w:color w:val="00000A"/>
                <w:sz w:val="20"/>
                <w:szCs w:val="20"/>
                <w:lang w:eastAsia="zh-CN" w:bidi="hi-IN"/>
              </w:rPr>
              <w:t>32,01</w:t>
            </w:r>
          </w:p>
        </w:tc>
      </w:tr>
      <w:tr w:rsidR="00D56D1F" w:rsidTr="00185A5E">
        <w:trPr>
          <w:trHeight w:val="14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spacing w:line="256" w:lineRule="auto"/>
              <w:rPr>
                <w:rFonts w:cs="Lohit Devanagari"/>
                <w:color w:val="00000A"/>
                <w:sz w:val="18"/>
                <w:szCs w:val="18"/>
                <w:lang w:eastAsia="zh-CN" w:bidi="hi-IN"/>
              </w:rPr>
            </w:pPr>
          </w:p>
        </w:tc>
        <w:tc>
          <w:tcPr>
            <w:tcW w:w="0" w:type="auto"/>
            <w:vMerge/>
            <w:tcBorders>
              <w:top w:val="single" w:sz="4" w:space="0" w:color="000000"/>
              <w:left w:val="single" w:sz="4" w:space="0" w:color="000000"/>
              <w:bottom w:val="single" w:sz="4" w:space="0" w:color="000000"/>
              <w:right w:val="single" w:sz="4" w:space="0" w:color="auto"/>
            </w:tcBorders>
            <w:vAlign w:val="center"/>
            <w:hideMark/>
          </w:tcPr>
          <w:p w:rsidR="00D56D1F" w:rsidRDefault="00D56D1F" w:rsidP="00185A5E">
            <w:pPr>
              <w:spacing w:line="256" w:lineRule="auto"/>
              <w:rPr>
                <w:rFonts w:cs="Lohit Devanagari"/>
                <w:color w:val="00000A"/>
                <w:sz w:val="18"/>
                <w:szCs w:val="18"/>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6D1F" w:rsidRDefault="00D56D1F" w:rsidP="00185A5E">
            <w:pPr>
              <w:spacing w:line="256" w:lineRule="auto"/>
              <w:rPr>
                <w:rFonts w:cs="Lohit Devanagari"/>
                <w:b/>
                <w:color w:val="00000A"/>
                <w:sz w:val="18"/>
                <w:szCs w:val="18"/>
                <w:lang w:bidi="hi-IN"/>
              </w:rPr>
            </w:pPr>
          </w:p>
        </w:tc>
        <w:tc>
          <w:tcPr>
            <w:tcW w:w="1892" w:type="pct"/>
            <w:tcBorders>
              <w:top w:val="single" w:sz="4" w:space="0" w:color="auto"/>
              <w:left w:val="single" w:sz="4" w:space="0" w:color="auto"/>
              <w:bottom w:val="single" w:sz="4" w:space="0" w:color="auto"/>
              <w:right w:val="single" w:sz="4" w:space="0" w:color="auto"/>
            </w:tcBorders>
            <w:hideMark/>
          </w:tcPr>
          <w:p w:rsidR="00D56D1F" w:rsidRDefault="00D56D1F" w:rsidP="00185A5E">
            <w:pPr>
              <w:tabs>
                <w:tab w:val="left" w:pos="3002"/>
              </w:tabs>
              <w:rPr>
                <w:sz w:val="18"/>
                <w:szCs w:val="18"/>
              </w:rPr>
            </w:pPr>
            <w:r>
              <w:rPr>
                <w:b/>
                <w:sz w:val="18"/>
                <w:szCs w:val="18"/>
              </w:rPr>
              <w:t>характеристика квалификации участников закупки № 2</w:t>
            </w:r>
            <w:r>
              <w:rPr>
                <w:i/>
                <w:sz w:val="18"/>
                <w:szCs w:val="18"/>
              </w:rPr>
              <w:t xml:space="preserve"> (наибольшая цена одного из исполненных участником закупки договоров). </w:t>
            </w:r>
          </w:p>
        </w:tc>
        <w:tc>
          <w:tcPr>
            <w:tcW w:w="473" w:type="pct"/>
            <w:tcBorders>
              <w:top w:val="single" w:sz="4" w:space="0" w:color="000000"/>
              <w:left w:val="single" w:sz="4" w:space="0" w:color="auto"/>
              <w:bottom w:val="single" w:sz="4" w:space="0" w:color="000000"/>
              <w:right w:val="single" w:sz="4" w:space="0" w:color="000000"/>
            </w:tcBorders>
            <w:vAlign w:val="center"/>
            <w:hideMark/>
          </w:tcPr>
          <w:p w:rsidR="00D56D1F" w:rsidRDefault="00D56D1F" w:rsidP="00185A5E">
            <w:pPr>
              <w:widowControl w:val="0"/>
              <w:spacing w:line="264" w:lineRule="auto"/>
              <w:jc w:val="center"/>
              <w:rPr>
                <w:rFonts w:cs="Lohit Devanagari"/>
                <w:color w:val="00000A"/>
                <w:sz w:val="18"/>
                <w:szCs w:val="18"/>
                <w:lang w:eastAsia="zh-CN" w:bidi="hi-IN"/>
              </w:rPr>
            </w:pPr>
            <w:r>
              <w:rPr>
                <w:rFonts w:cs="Lohit Devanagari"/>
                <w:color w:val="00000A"/>
                <w:sz w:val="18"/>
                <w:szCs w:val="18"/>
                <w:lang w:eastAsia="zh-CN" w:bidi="hi-IN"/>
              </w:rPr>
              <w:t>8 353 855,00</w:t>
            </w:r>
          </w:p>
        </w:tc>
        <w:tc>
          <w:tcPr>
            <w:tcW w:w="425"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rFonts w:cs="Lohit Devanagari"/>
                <w:color w:val="00000A"/>
                <w:sz w:val="18"/>
                <w:szCs w:val="18"/>
                <w:lang w:eastAsia="zh-CN" w:bidi="hi-IN"/>
              </w:rPr>
            </w:pPr>
            <w:r>
              <w:rPr>
                <w:rFonts w:cs="Lohit Devanagari"/>
                <w:color w:val="00000A"/>
                <w:sz w:val="18"/>
                <w:szCs w:val="18"/>
                <w:lang w:eastAsia="zh-CN" w:bidi="hi-IN"/>
              </w:rPr>
              <w:t>8 353855,00</w:t>
            </w:r>
          </w:p>
        </w:tc>
        <w:tc>
          <w:tcPr>
            <w:tcW w:w="379"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color w:val="000000"/>
                <w:sz w:val="20"/>
                <w:szCs w:val="20"/>
                <w:lang w:eastAsia="zh-CN" w:bidi="hi-IN"/>
              </w:rPr>
            </w:pPr>
            <w:r>
              <w:rPr>
                <w:color w:val="000000"/>
                <w:sz w:val="20"/>
                <w:szCs w:val="20"/>
                <w:lang w:eastAsia="zh-CN" w:bidi="hi-IN"/>
              </w:rPr>
              <w:t>0,17/0,03</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spacing w:line="256" w:lineRule="auto"/>
              <w:rPr>
                <w:rFonts w:cs="Lohit Devanagari"/>
                <w:b/>
                <w:color w:val="00000A"/>
                <w:lang w:eastAsia="zh-CN" w:bidi="hi-IN"/>
              </w:rPr>
            </w:pPr>
          </w:p>
        </w:tc>
      </w:tr>
    </w:tbl>
    <w:p w:rsidR="00D56D1F" w:rsidRDefault="00D56D1F" w:rsidP="00D56D1F">
      <w:pPr>
        <w:ind w:left="142" w:firstLine="567"/>
        <w:jc w:val="both"/>
        <w:rPr>
          <w:sz w:val="16"/>
          <w:szCs w:val="16"/>
        </w:rPr>
      </w:pPr>
    </w:p>
    <w:p w:rsidR="00D56D1F" w:rsidRDefault="00D56D1F" w:rsidP="00D56D1F">
      <w:pPr>
        <w:ind w:left="142" w:firstLine="567"/>
        <w:jc w:val="both"/>
        <w:rPr>
          <w:sz w:val="16"/>
          <w:szCs w:val="16"/>
        </w:rPr>
      </w:pPr>
    </w:p>
    <w:tbl>
      <w:tblPr>
        <w:tblW w:w="5000" w:type="pct"/>
        <w:tblLook w:val="04A0" w:firstRow="1" w:lastRow="0" w:firstColumn="1" w:lastColumn="0" w:noHBand="0" w:noVBand="1"/>
      </w:tblPr>
      <w:tblGrid>
        <w:gridCol w:w="984"/>
        <w:gridCol w:w="1273"/>
        <w:gridCol w:w="1118"/>
        <w:gridCol w:w="1484"/>
        <w:gridCol w:w="1259"/>
        <w:gridCol w:w="1112"/>
        <w:gridCol w:w="1123"/>
        <w:gridCol w:w="992"/>
      </w:tblGrid>
      <w:tr w:rsidR="00D56D1F" w:rsidTr="00185A5E">
        <w:trPr>
          <w:trHeight w:val="84"/>
        </w:trPr>
        <w:tc>
          <w:tcPr>
            <w:tcW w:w="372"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jc w:val="center"/>
              <w:rPr>
                <w:rFonts w:cs="Lohit Devanagari"/>
                <w:color w:val="00000A"/>
                <w:sz w:val="18"/>
                <w:szCs w:val="18"/>
                <w:lang w:eastAsia="zh-CN" w:bidi="hi-IN"/>
              </w:rPr>
            </w:pPr>
            <w:r>
              <w:rPr>
                <w:b/>
                <w:bCs/>
                <w:color w:val="00000A"/>
                <w:sz w:val="18"/>
                <w:szCs w:val="18"/>
                <w:lang w:eastAsia="zh-CN" w:bidi="hi-IN"/>
              </w:rPr>
              <w:t>Номер заявки</w:t>
            </w:r>
          </w:p>
        </w:tc>
        <w:tc>
          <w:tcPr>
            <w:tcW w:w="431"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jc w:val="center"/>
              <w:rPr>
                <w:rFonts w:cs="Lohit Devanagari"/>
                <w:color w:val="00000A"/>
                <w:sz w:val="18"/>
                <w:szCs w:val="18"/>
                <w:lang w:eastAsia="zh-CN" w:bidi="hi-IN"/>
              </w:rPr>
            </w:pPr>
            <w:r>
              <w:rPr>
                <w:b/>
                <w:bCs/>
                <w:color w:val="00000A"/>
                <w:sz w:val="18"/>
                <w:szCs w:val="18"/>
                <w:lang w:eastAsia="zh-CN" w:bidi="hi-IN"/>
              </w:rPr>
              <w:t>Решение комиссии</w:t>
            </w:r>
          </w:p>
        </w:tc>
        <w:tc>
          <w:tcPr>
            <w:tcW w:w="662" w:type="pct"/>
            <w:tcBorders>
              <w:top w:val="single" w:sz="4" w:space="0" w:color="000000"/>
              <w:left w:val="single" w:sz="4" w:space="0" w:color="000000"/>
              <w:bottom w:val="single" w:sz="4" w:space="0" w:color="auto"/>
              <w:right w:val="single" w:sz="4" w:space="0" w:color="000000"/>
            </w:tcBorders>
            <w:vAlign w:val="center"/>
            <w:hideMark/>
          </w:tcPr>
          <w:p w:rsidR="00D56D1F" w:rsidRDefault="00D56D1F" w:rsidP="00185A5E">
            <w:pPr>
              <w:widowControl w:val="0"/>
              <w:spacing w:line="264" w:lineRule="auto"/>
              <w:jc w:val="center"/>
              <w:rPr>
                <w:b/>
                <w:bCs/>
                <w:color w:val="00000A"/>
                <w:sz w:val="18"/>
                <w:szCs w:val="18"/>
                <w:lang w:eastAsia="zh-CN" w:bidi="hi-IN"/>
              </w:rPr>
            </w:pPr>
            <w:r>
              <w:rPr>
                <w:b/>
                <w:color w:val="00000A"/>
                <w:sz w:val="18"/>
                <w:szCs w:val="18"/>
                <w:lang w:eastAsia="zh-CN" w:bidi="hi-IN"/>
              </w:rPr>
              <w:t>Показатель оценки</w:t>
            </w:r>
          </w:p>
        </w:tc>
        <w:tc>
          <w:tcPr>
            <w:tcW w:w="1892" w:type="pct"/>
            <w:tcBorders>
              <w:top w:val="single" w:sz="4" w:space="0" w:color="000000"/>
              <w:left w:val="single" w:sz="4" w:space="0" w:color="000000"/>
              <w:bottom w:val="single" w:sz="4" w:space="0" w:color="auto"/>
              <w:right w:val="single" w:sz="4" w:space="0" w:color="000000"/>
            </w:tcBorders>
            <w:vAlign w:val="center"/>
            <w:hideMark/>
          </w:tcPr>
          <w:p w:rsidR="00D56D1F" w:rsidRDefault="00D56D1F" w:rsidP="00185A5E">
            <w:pPr>
              <w:widowControl w:val="0"/>
              <w:autoSpaceDE w:val="0"/>
              <w:autoSpaceDN w:val="0"/>
              <w:adjustRightInd w:val="0"/>
              <w:ind w:left="-81" w:right="-63"/>
              <w:jc w:val="center"/>
              <w:rPr>
                <w:b/>
                <w:sz w:val="18"/>
                <w:szCs w:val="18"/>
              </w:rPr>
            </w:pPr>
            <w:r>
              <w:rPr>
                <w:b/>
                <w:sz w:val="18"/>
                <w:szCs w:val="18"/>
              </w:rPr>
              <w:t>Показатель оценки, детализирующий</w:t>
            </w:r>
          </w:p>
          <w:p w:rsidR="00D56D1F" w:rsidRDefault="00D56D1F" w:rsidP="00185A5E">
            <w:pPr>
              <w:widowControl w:val="0"/>
              <w:spacing w:line="264" w:lineRule="auto"/>
              <w:jc w:val="center"/>
              <w:rPr>
                <w:b/>
                <w:bCs/>
                <w:color w:val="00000A"/>
                <w:sz w:val="18"/>
                <w:szCs w:val="18"/>
                <w:lang w:eastAsia="zh-CN" w:bidi="hi-IN"/>
              </w:rPr>
            </w:pPr>
            <w:r>
              <w:rPr>
                <w:b/>
                <w:color w:val="00000A"/>
                <w:sz w:val="18"/>
                <w:szCs w:val="18"/>
                <w:lang w:eastAsia="zh-CN" w:bidi="hi-IN"/>
              </w:rPr>
              <w:t>показатель оценки</w:t>
            </w:r>
          </w:p>
        </w:tc>
        <w:tc>
          <w:tcPr>
            <w:tcW w:w="473"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rFonts w:cs="Lohit Devanagari"/>
                <w:color w:val="00000A"/>
                <w:sz w:val="18"/>
                <w:szCs w:val="18"/>
                <w:lang w:eastAsia="zh-CN" w:bidi="hi-IN"/>
              </w:rPr>
            </w:pPr>
            <w:r>
              <w:rPr>
                <w:b/>
                <w:bCs/>
                <w:color w:val="00000A"/>
                <w:sz w:val="18"/>
                <w:szCs w:val="18"/>
                <w:lang w:eastAsia="zh-CN" w:bidi="hi-IN"/>
              </w:rPr>
              <w:t>Предложение участника</w:t>
            </w:r>
          </w:p>
        </w:tc>
        <w:tc>
          <w:tcPr>
            <w:tcW w:w="425"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b/>
                <w:bCs/>
                <w:color w:val="00000A"/>
                <w:sz w:val="18"/>
                <w:szCs w:val="18"/>
                <w:lang w:eastAsia="zh-CN" w:bidi="hi-IN"/>
              </w:rPr>
            </w:pPr>
            <w:r>
              <w:rPr>
                <w:b/>
                <w:bCs/>
                <w:color w:val="00000A"/>
                <w:sz w:val="18"/>
                <w:szCs w:val="18"/>
                <w:lang w:eastAsia="zh-CN" w:bidi="hi-IN"/>
              </w:rPr>
              <w:t>Принято  комиссией</w:t>
            </w:r>
          </w:p>
        </w:tc>
        <w:tc>
          <w:tcPr>
            <w:tcW w:w="379"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b/>
                <w:bCs/>
                <w:color w:val="00000A"/>
                <w:sz w:val="18"/>
                <w:szCs w:val="18"/>
                <w:lang w:eastAsia="zh-CN" w:bidi="hi-IN"/>
              </w:rPr>
            </w:pPr>
            <w:r>
              <w:rPr>
                <w:b/>
                <w:bCs/>
                <w:color w:val="00000A"/>
                <w:sz w:val="18"/>
                <w:szCs w:val="18"/>
                <w:lang w:eastAsia="zh-CN" w:bidi="hi-IN"/>
              </w:rPr>
              <w:t xml:space="preserve">Оценка по показателю </w:t>
            </w:r>
          </w:p>
          <w:p w:rsidR="00D56D1F" w:rsidRDefault="00D56D1F" w:rsidP="00185A5E">
            <w:pPr>
              <w:widowControl w:val="0"/>
              <w:spacing w:line="264" w:lineRule="auto"/>
              <w:jc w:val="center"/>
              <w:rPr>
                <w:bCs/>
                <w:i/>
                <w:color w:val="00000A"/>
                <w:sz w:val="12"/>
                <w:szCs w:val="12"/>
                <w:lang w:eastAsia="zh-CN" w:bidi="hi-IN"/>
              </w:rPr>
            </w:pPr>
            <w:r>
              <w:rPr>
                <w:bCs/>
                <w:i/>
                <w:color w:val="00000A"/>
                <w:sz w:val="12"/>
                <w:szCs w:val="12"/>
                <w:lang w:eastAsia="zh-CN" w:bidi="hi-IN"/>
              </w:rPr>
              <w:t xml:space="preserve">без учета / </w:t>
            </w:r>
          </w:p>
          <w:p w:rsidR="00D56D1F" w:rsidRDefault="00D56D1F" w:rsidP="00185A5E">
            <w:pPr>
              <w:widowControl w:val="0"/>
              <w:spacing w:line="264" w:lineRule="auto"/>
              <w:jc w:val="center"/>
              <w:rPr>
                <w:rFonts w:cs="Lohit Devanagari"/>
                <w:color w:val="00000A"/>
                <w:sz w:val="18"/>
                <w:szCs w:val="18"/>
                <w:lang w:eastAsia="zh-CN" w:bidi="hi-IN"/>
              </w:rPr>
            </w:pPr>
            <w:r>
              <w:rPr>
                <w:bCs/>
                <w:i/>
                <w:color w:val="00000A"/>
                <w:sz w:val="12"/>
                <w:szCs w:val="12"/>
                <w:lang w:eastAsia="zh-CN" w:bidi="hi-IN"/>
              </w:rPr>
              <w:t>с учетом значимости</w:t>
            </w:r>
          </w:p>
        </w:tc>
        <w:tc>
          <w:tcPr>
            <w:tcW w:w="366"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b/>
                <w:bCs/>
                <w:color w:val="00000A"/>
                <w:sz w:val="18"/>
                <w:szCs w:val="18"/>
                <w:lang w:eastAsia="zh-CN" w:bidi="hi-IN"/>
              </w:rPr>
            </w:pPr>
            <w:r>
              <w:rPr>
                <w:b/>
                <w:bCs/>
                <w:color w:val="00000A"/>
                <w:sz w:val="18"/>
                <w:szCs w:val="18"/>
                <w:lang w:eastAsia="zh-CN" w:bidi="hi-IN"/>
              </w:rPr>
              <w:t xml:space="preserve">Оценка по критерию </w:t>
            </w:r>
          </w:p>
          <w:p w:rsidR="00D56D1F" w:rsidRDefault="00D56D1F" w:rsidP="00185A5E">
            <w:pPr>
              <w:widowControl w:val="0"/>
              <w:spacing w:line="264" w:lineRule="auto"/>
              <w:jc w:val="center"/>
              <w:rPr>
                <w:bCs/>
                <w:i/>
                <w:color w:val="00000A"/>
                <w:sz w:val="12"/>
                <w:szCs w:val="12"/>
                <w:lang w:eastAsia="zh-CN" w:bidi="hi-IN"/>
              </w:rPr>
            </w:pPr>
            <w:r>
              <w:rPr>
                <w:bCs/>
                <w:i/>
                <w:color w:val="00000A"/>
                <w:sz w:val="12"/>
                <w:szCs w:val="12"/>
                <w:lang w:eastAsia="zh-CN" w:bidi="hi-IN"/>
              </w:rPr>
              <w:t xml:space="preserve">без учета / </w:t>
            </w:r>
          </w:p>
          <w:p w:rsidR="00D56D1F" w:rsidRDefault="00D56D1F" w:rsidP="00185A5E">
            <w:pPr>
              <w:widowControl w:val="0"/>
              <w:spacing w:line="264" w:lineRule="auto"/>
              <w:jc w:val="center"/>
              <w:rPr>
                <w:rFonts w:cs="Lohit Devanagari"/>
                <w:color w:val="00000A"/>
                <w:sz w:val="18"/>
                <w:szCs w:val="18"/>
                <w:lang w:eastAsia="zh-CN" w:bidi="hi-IN"/>
              </w:rPr>
            </w:pPr>
            <w:r>
              <w:rPr>
                <w:bCs/>
                <w:i/>
                <w:color w:val="00000A"/>
                <w:sz w:val="12"/>
                <w:szCs w:val="12"/>
                <w:lang w:eastAsia="zh-CN" w:bidi="hi-IN"/>
              </w:rPr>
              <w:t>с учетом значимости</w:t>
            </w:r>
          </w:p>
        </w:tc>
      </w:tr>
      <w:tr w:rsidR="00D56D1F" w:rsidTr="00185A5E">
        <w:trPr>
          <w:trHeight w:val="357"/>
        </w:trPr>
        <w:tc>
          <w:tcPr>
            <w:tcW w:w="372" w:type="pct"/>
            <w:vMerge w:val="restart"/>
            <w:tcBorders>
              <w:top w:val="single" w:sz="4" w:space="0" w:color="000000"/>
              <w:left w:val="single" w:sz="4" w:space="0" w:color="000000"/>
              <w:bottom w:val="single" w:sz="4" w:space="0" w:color="000000"/>
              <w:right w:val="single" w:sz="4" w:space="0" w:color="000000"/>
            </w:tcBorders>
          </w:tcPr>
          <w:p w:rsidR="00D56D1F" w:rsidRDefault="00D56D1F" w:rsidP="00185A5E">
            <w:pPr>
              <w:widowControl w:val="0"/>
              <w:spacing w:line="264" w:lineRule="auto"/>
              <w:jc w:val="center"/>
              <w:rPr>
                <w:b/>
                <w:color w:val="000000"/>
                <w:sz w:val="18"/>
                <w:szCs w:val="18"/>
                <w:lang w:eastAsia="zh-CN" w:bidi="hi-IN"/>
              </w:rPr>
            </w:pPr>
            <w:r>
              <w:rPr>
                <w:b/>
                <w:color w:val="000000"/>
                <w:sz w:val="18"/>
                <w:szCs w:val="18"/>
                <w:lang w:val="en-US" w:eastAsia="zh-CN" w:bidi="hi-IN"/>
              </w:rPr>
              <w:t>115297999</w:t>
            </w:r>
            <w:r>
              <w:rPr>
                <w:b/>
                <w:color w:val="000000"/>
                <w:sz w:val="18"/>
                <w:szCs w:val="18"/>
                <w:lang w:eastAsia="zh-CN" w:bidi="hi-IN"/>
              </w:rPr>
              <w:br/>
            </w:r>
          </w:p>
          <w:p w:rsidR="00D56D1F" w:rsidRDefault="00D56D1F" w:rsidP="00185A5E">
            <w:pPr>
              <w:widowControl w:val="0"/>
              <w:spacing w:line="264" w:lineRule="auto"/>
              <w:rPr>
                <w:rFonts w:cs="Lohit Devanagari"/>
                <w:color w:val="00000A"/>
                <w:sz w:val="18"/>
                <w:szCs w:val="18"/>
                <w:lang w:eastAsia="zh-CN" w:bidi="hi-IN"/>
              </w:rPr>
            </w:pPr>
          </w:p>
        </w:tc>
        <w:tc>
          <w:tcPr>
            <w:tcW w:w="431" w:type="pct"/>
            <w:vMerge w:val="restart"/>
            <w:tcBorders>
              <w:top w:val="single" w:sz="4" w:space="0" w:color="000000"/>
              <w:left w:val="single" w:sz="4" w:space="0" w:color="000000"/>
              <w:bottom w:val="single" w:sz="4" w:space="0" w:color="000000"/>
              <w:right w:val="single" w:sz="4" w:space="0" w:color="auto"/>
            </w:tcBorders>
          </w:tcPr>
          <w:p w:rsidR="00D56D1F" w:rsidRDefault="00D56D1F" w:rsidP="00185A5E">
            <w:pPr>
              <w:widowControl w:val="0"/>
              <w:spacing w:line="264" w:lineRule="auto"/>
              <w:rPr>
                <w:rFonts w:cs="Lohit Devanagari"/>
                <w:color w:val="00000A"/>
                <w:sz w:val="18"/>
                <w:szCs w:val="18"/>
                <w:lang w:eastAsia="zh-CN" w:bidi="hi-IN"/>
              </w:rPr>
            </w:pPr>
            <w:r>
              <w:rPr>
                <w:color w:val="000000"/>
                <w:sz w:val="18"/>
                <w:szCs w:val="18"/>
                <w:lang w:val="en-US" w:eastAsia="zh-CN" w:bidi="hi-IN"/>
              </w:rPr>
              <w:t>Соответствует</w:t>
            </w:r>
          </w:p>
          <w:p w:rsidR="00D56D1F" w:rsidRDefault="00D56D1F" w:rsidP="00185A5E">
            <w:pPr>
              <w:widowControl w:val="0"/>
              <w:spacing w:line="264" w:lineRule="auto"/>
              <w:rPr>
                <w:rFonts w:cs="Lohit Devanagari"/>
                <w:color w:val="00000A"/>
                <w:sz w:val="18"/>
                <w:szCs w:val="18"/>
                <w:lang w:eastAsia="zh-CN" w:bidi="hi-IN"/>
              </w:rPr>
            </w:pPr>
          </w:p>
        </w:tc>
        <w:tc>
          <w:tcPr>
            <w:tcW w:w="662" w:type="pct"/>
            <w:vMerge w:val="restart"/>
            <w:tcBorders>
              <w:top w:val="single" w:sz="4" w:space="0" w:color="auto"/>
              <w:left w:val="single" w:sz="4" w:space="0" w:color="auto"/>
              <w:bottom w:val="single" w:sz="4" w:space="0" w:color="auto"/>
              <w:right w:val="single" w:sz="4" w:space="0" w:color="auto"/>
            </w:tcBorders>
            <w:hideMark/>
          </w:tcPr>
          <w:p w:rsidR="00D56D1F" w:rsidRDefault="00D56D1F" w:rsidP="00185A5E">
            <w:pPr>
              <w:widowControl w:val="0"/>
              <w:spacing w:line="264" w:lineRule="auto"/>
              <w:rPr>
                <w:rFonts w:cs="Lohit Devanagari"/>
                <w:b/>
                <w:color w:val="00000A"/>
                <w:sz w:val="18"/>
                <w:szCs w:val="18"/>
                <w:lang w:bidi="hi-IN"/>
              </w:rPr>
            </w:pPr>
            <w:r>
              <w:rPr>
                <w:color w:val="00000A"/>
                <w:sz w:val="18"/>
                <w:szCs w:val="18"/>
                <w:lang w:eastAsia="zh-CN" w:bidi="hi-IN"/>
              </w:rPr>
              <w:t xml:space="preserve">Наличие у участников закупки </w:t>
            </w:r>
            <w:r>
              <w:rPr>
                <w:b/>
                <w:color w:val="00000A"/>
                <w:sz w:val="18"/>
                <w:szCs w:val="18"/>
                <w:lang w:eastAsia="zh-CN" w:bidi="hi-IN"/>
              </w:rPr>
              <w:t>опыта</w:t>
            </w:r>
            <w:r>
              <w:rPr>
                <w:color w:val="00000A"/>
                <w:sz w:val="18"/>
                <w:szCs w:val="18"/>
                <w:lang w:eastAsia="zh-CN" w:bidi="hi-IN"/>
              </w:rPr>
              <w:t xml:space="preserve"> работы, связанного </w:t>
            </w:r>
            <w:r>
              <w:rPr>
                <w:color w:val="00000A"/>
                <w:sz w:val="18"/>
                <w:szCs w:val="18"/>
                <w:lang w:eastAsia="zh-CN" w:bidi="hi-IN"/>
              </w:rPr>
              <w:lastRenderedPageBreak/>
              <w:t>с предметом контракта</w:t>
            </w:r>
          </w:p>
        </w:tc>
        <w:tc>
          <w:tcPr>
            <w:tcW w:w="1892" w:type="pct"/>
            <w:tcBorders>
              <w:top w:val="single" w:sz="4" w:space="0" w:color="auto"/>
              <w:left w:val="single" w:sz="4" w:space="0" w:color="auto"/>
              <w:bottom w:val="nil"/>
              <w:right w:val="single" w:sz="4" w:space="0" w:color="auto"/>
            </w:tcBorders>
            <w:hideMark/>
          </w:tcPr>
          <w:p w:rsidR="00D56D1F" w:rsidRDefault="00D56D1F" w:rsidP="00185A5E">
            <w:pPr>
              <w:widowControl w:val="0"/>
              <w:tabs>
                <w:tab w:val="left" w:pos="3002"/>
              </w:tabs>
              <w:autoSpaceDE w:val="0"/>
              <w:autoSpaceDN w:val="0"/>
              <w:adjustRightInd w:val="0"/>
              <w:rPr>
                <w:sz w:val="18"/>
                <w:szCs w:val="18"/>
              </w:rPr>
            </w:pPr>
            <w:r>
              <w:rPr>
                <w:b/>
                <w:sz w:val="18"/>
                <w:szCs w:val="18"/>
              </w:rPr>
              <w:lastRenderedPageBreak/>
              <w:t>характеристика квалификации участников закупки № 1</w:t>
            </w:r>
            <w:r>
              <w:rPr>
                <w:i/>
                <w:sz w:val="18"/>
                <w:szCs w:val="18"/>
              </w:rPr>
              <w:t xml:space="preserve"> (общее количество </w:t>
            </w:r>
            <w:r>
              <w:rPr>
                <w:i/>
                <w:sz w:val="18"/>
                <w:szCs w:val="18"/>
              </w:rPr>
              <w:lastRenderedPageBreak/>
              <w:t xml:space="preserve">исполненных участником закупки договоров). </w:t>
            </w:r>
          </w:p>
        </w:tc>
        <w:tc>
          <w:tcPr>
            <w:tcW w:w="473" w:type="pct"/>
            <w:tcBorders>
              <w:top w:val="single" w:sz="4" w:space="0" w:color="000000"/>
              <w:left w:val="single" w:sz="4" w:space="0" w:color="auto"/>
              <w:bottom w:val="nil"/>
              <w:right w:val="single" w:sz="4" w:space="0" w:color="000000"/>
            </w:tcBorders>
            <w:vAlign w:val="center"/>
            <w:hideMark/>
          </w:tcPr>
          <w:p w:rsidR="00D56D1F" w:rsidRDefault="00D56D1F" w:rsidP="00185A5E">
            <w:pPr>
              <w:widowControl w:val="0"/>
              <w:spacing w:line="264" w:lineRule="auto"/>
              <w:jc w:val="center"/>
              <w:rPr>
                <w:rFonts w:cs="Lohit Devanagari"/>
                <w:color w:val="00000A"/>
                <w:sz w:val="18"/>
                <w:szCs w:val="18"/>
                <w:lang w:eastAsia="zh-CN" w:bidi="hi-IN"/>
              </w:rPr>
            </w:pPr>
            <w:r>
              <w:rPr>
                <w:rFonts w:cs="Lohit Devanagari"/>
                <w:color w:val="00000A"/>
                <w:sz w:val="18"/>
                <w:szCs w:val="18"/>
                <w:lang w:eastAsia="zh-CN" w:bidi="hi-IN"/>
              </w:rPr>
              <w:lastRenderedPageBreak/>
              <w:t>35</w:t>
            </w:r>
          </w:p>
        </w:tc>
        <w:tc>
          <w:tcPr>
            <w:tcW w:w="425" w:type="pct"/>
            <w:tcBorders>
              <w:top w:val="single" w:sz="4" w:space="0" w:color="000000"/>
              <w:left w:val="single" w:sz="4" w:space="0" w:color="000000"/>
              <w:bottom w:val="nil"/>
              <w:right w:val="single" w:sz="4" w:space="0" w:color="000000"/>
            </w:tcBorders>
            <w:vAlign w:val="center"/>
            <w:hideMark/>
          </w:tcPr>
          <w:p w:rsidR="00D56D1F" w:rsidRDefault="00D56D1F" w:rsidP="00185A5E">
            <w:pPr>
              <w:widowControl w:val="0"/>
              <w:spacing w:line="264" w:lineRule="auto"/>
              <w:jc w:val="center"/>
              <w:rPr>
                <w:rFonts w:cs="Lohit Devanagari"/>
                <w:color w:val="00000A"/>
                <w:sz w:val="18"/>
                <w:szCs w:val="18"/>
                <w:lang w:eastAsia="zh-CN" w:bidi="hi-IN"/>
              </w:rPr>
            </w:pPr>
            <w:r>
              <w:rPr>
                <w:rFonts w:cs="Lohit Devanagari"/>
                <w:color w:val="00000A"/>
                <w:sz w:val="18"/>
                <w:szCs w:val="18"/>
                <w:lang w:eastAsia="zh-CN" w:bidi="hi-IN"/>
              </w:rPr>
              <w:t>35</w:t>
            </w:r>
          </w:p>
        </w:tc>
        <w:tc>
          <w:tcPr>
            <w:tcW w:w="379" w:type="pct"/>
            <w:tcBorders>
              <w:top w:val="single" w:sz="4" w:space="0" w:color="000000"/>
              <w:left w:val="single" w:sz="4" w:space="0" w:color="000000"/>
              <w:bottom w:val="nil"/>
              <w:right w:val="single" w:sz="4" w:space="0" w:color="000000"/>
            </w:tcBorders>
            <w:vAlign w:val="center"/>
          </w:tcPr>
          <w:p w:rsidR="00D56D1F" w:rsidRDefault="00D56D1F" w:rsidP="00185A5E">
            <w:pPr>
              <w:widowControl w:val="0"/>
              <w:spacing w:line="264" w:lineRule="auto"/>
              <w:jc w:val="center"/>
              <w:rPr>
                <w:color w:val="000000"/>
                <w:sz w:val="20"/>
                <w:szCs w:val="20"/>
                <w:lang w:eastAsia="zh-CN" w:bidi="hi-IN"/>
              </w:rPr>
            </w:pPr>
            <w:r>
              <w:rPr>
                <w:color w:val="000000"/>
                <w:sz w:val="20"/>
                <w:szCs w:val="20"/>
                <w:lang w:eastAsia="zh-CN" w:bidi="hi-IN"/>
              </w:rPr>
              <w:t>34,85/27,88</w:t>
            </w:r>
          </w:p>
        </w:tc>
        <w:tc>
          <w:tcPr>
            <w:tcW w:w="366" w:type="pct"/>
            <w:vMerge w:val="restart"/>
            <w:tcBorders>
              <w:top w:val="single" w:sz="4" w:space="0" w:color="000000"/>
              <w:left w:val="single" w:sz="4" w:space="0" w:color="000000"/>
              <w:bottom w:val="single" w:sz="4" w:space="0" w:color="000000"/>
              <w:right w:val="single" w:sz="4" w:space="0" w:color="000000"/>
            </w:tcBorders>
            <w:vAlign w:val="center"/>
          </w:tcPr>
          <w:p w:rsidR="00D56D1F" w:rsidRPr="00DB22E2" w:rsidRDefault="00D56D1F" w:rsidP="00185A5E">
            <w:pPr>
              <w:widowControl w:val="0"/>
              <w:spacing w:line="264" w:lineRule="auto"/>
              <w:jc w:val="center"/>
              <w:rPr>
                <w:rFonts w:cs="Lohit Devanagari"/>
                <w:color w:val="00000A"/>
                <w:sz w:val="20"/>
                <w:szCs w:val="20"/>
                <w:lang w:eastAsia="zh-CN" w:bidi="hi-IN"/>
              </w:rPr>
            </w:pPr>
            <w:r w:rsidRPr="00DB22E2">
              <w:rPr>
                <w:rFonts w:cs="Lohit Devanagari"/>
                <w:color w:val="00000A"/>
                <w:sz w:val="20"/>
                <w:szCs w:val="20"/>
                <w:lang w:eastAsia="zh-CN" w:bidi="hi-IN"/>
              </w:rPr>
              <w:t>35,74/</w:t>
            </w:r>
          </w:p>
          <w:p w:rsidR="00D56D1F" w:rsidRPr="00DB22E2" w:rsidRDefault="00D56D1F" w:rsidP="00185A5E">
            <w:pPr>
              <w:widowControl w:val="0"/>
              <w:spacing w:line="264" w:lineRule="auto"/>
              <w:jc w:val="center"/>
              <w:rPr>
                <w:rFonts w:cs="Lohit Devanagari"/>
                <w:b/>
                <w:color w:val="00000A"/>
                <w:sz w:val="20"/>
                <w:szCs w:val="20"/>
                <w:lang w:eastAsia="zh-CN" w:bidi="hi-IN"/>
              </w:rPr>
            </w:pPr>
            <w:r w:rsidRPr="00DB22E2">
              <w:rPr>
                <w:rFonts w:cs="Lohit Devanagari"/>
                <w:b/>
                <w:color w:val="00000A"/>
                <w:sz w:val="20"/>
                <w:szCs w:val="20"/>
                <w:lang w:eastAsia="zh-CN" w:bidi="hi-IN"/>
              </w:rPr>
              <w:t>14,30</w:t>
            </w:r>
          </w:p>
        </w:tc>
      </w:tr>
      <w:tr w:rsidR="00D56D1F" w:rsidTr="00185A5E">
        <w:trPr>
          <w:trHeight w:val="14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spacing w:line="256" w:lineRule="auto"/>
              <w:rPr>
                <w:rFonts w:cs="Lohit Devanagari"/>
                <w:color w:val="00000A"/>
                <w:sz w:val="18"/>
                <w:szCs w:val="18"/>
                <w:lang w:eastAsia="zh-CN" w:bidi="hi-IN"/>
              </w:rPr>
            </w:pPr>
          </w:p>
        </w:tc>
        <w:tc>
          <w:tcPr>
            <w:tcW w:w="0" w:type="auto"/>
            <w:vMerge/>
            <w:tcBorders>
              <w:top w:val="single" w:sz="4" w:space="0" w:color="000000"/>
              <w:left w:val="single" w:sz="4" w:space="0" w:color="000000"/>
              <w:bottom w:val="single" w:sz="4" w:space="0" w:color="000000"/>
              <w:right w:val="single" w:sz="4" w:space="0" w:color="auto"/>
            </w:tcBorders>
            <w:vAlign w:val="center"/>
            <w:hideMark/>
          </w:tcPr>
          <w:p w:rsidR="00D56D1F" w:rsidRDefault="00D56D1F" w:rsidP="00185A5E">
            <w:pPr>
              <w:spacing w:line="256" w:lineRule="auto"/>
              <w:rPr>
                <w:rFonts w:cs="Lohit Devanagari"/>
                <w:color w:val="00000A"/>
                <w:sz w:val="18"/>
                <w:szCs w:val="18"/>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6D1F" w:rsidRDefault="00D56D1F" w:rsidP="00185A5E">
            <w:pPr>
              <w:spacing w:line="256" w:lineRule="auto"/>
              <w:rPr>
                <w:rFonts w:cs="Lohit Devanagari"/>
                <w:b/>
                <w:color w:val="00000A"/>
                <w:sz w:val="18"/>
                <w:szCs w:val="18"/>
                <w:lang w:bidi="hi-IN"/>
              </w:rPr>
            </w:pPr>
          </w:p>
        </w:tc>
        <w:tc>
          <w:tcPr>
            <w:tcW w:w="1892" w:type="pct"/>
            <w:tcBorders>
              <w:top w:val="single" w:sz="4" w:space="0" w:color="auto"/>
              <w:left w:val="single" w:sz="4" w:space="0" w:color="auto"/>
              <w:bottom w:val="single" w:sz="4" w:space="0" w:color="auto"/>
              <w:right w:val="single" w:sz="4" w:space="0" w:color="auto"/>
            </w:tcBorders>
            <w:hideMark/>
          </w:tcPr>
          <w:p w:rsidR="00D56D1F" w:rsidRDefault="00D56D1F" w:rsidP="00185A5E">
            <w:pPr>
              <w:tabs>
                <w:tab w:val="left" w:pos="3002"/>
              </w:tabs>
              <w:rPr>
                <w:sz w:val="18"/>
                <w:szCs w:val="18"/>
              </w:rPr>
            </w:pPr>
            <w:r>
              <w:rPr>
                <w:b/>
                <w:sz w:val="18"/>
                <w:szCs w:val="18"/>
              </w:rPr>
              <w:t>характеристика квалификации участников закупки № 2</w:t>
            </w:r>
            <w:r>
              <w:rPr>
                <w:i/>
                <w:sz w:val="18"/>
                <w:szCs w:val="18"/>
              </w:rPr>
              <w:t xml:space="preserve"> (наибольшая цена одного из исполненных участником закупки договоров). </w:t>
            </w:r>
          </w:p>
        </w:tc>
        <w:tc>
          <w:tcPr>
            <w:tcW w:w="473" w:type="pct"/>
            <w:tcBorders>
              <w:top w:val="single" w:sz="4" w:space="0" w:color="000000"/>
              <w:left w:val="single" w:sz="4" w:space="0" w:color="auto"/>
              <w:bottom w:val="single" w:sz="4" w:space="0" w:color="000000"/>
              <w:right w:val="single" w:sz="4" w:space="0" w:color="000000"/>
            </w:tcBorders>
            <w:vAlign w:val="center"/>
            <w:hideMark/>
          </w:tcPr>
          <w:p w:rsidR="00D56D1F" w:rsidRDefault="00D56D1F" w:rsidP="00185A5E">
            <w:pPr>
              <w:widowControl w:val="0"/>
              <w:spacing w:line="264" w:lineRule="auto"/>
              <w:jc w:val="center"/>
              <w:rPr>
                <w:rFonts w:cs="Lohit Devanagari"/>
                <w:color w:val="00000A"/>
                <w:sz w:val="18"/>
                <w:szCs w:val="18"/>
                <w:lang w:eastAsia="zh-CN" w:bidi="hi-IN"/>
              </w:rPr>
            </w:pPr>
            <w:r>
              <w:rPr>
                <w:rFonts w:cs="Lohit Devanagari"/>
                <w:color w:val="00000A"/>
                <w:sz w:val="18"/>
                <w:szCs w:val="18"/>
                <w:lang w:eastAsia="zh-CN" w:bidi="hi-IN"/>
              </w:rPr>
              <w:t>99292622,32</w:t>
            </w:r>
          </w:p>
        </w:tc>
        <w:tc>
          <w:tcPr>
            <w:tcW w:w="425"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rFonts w:cs="Lohit Devanagari"/>
                <w:color w:val="00000A"/>
                <w:sz w:val="18"/>
                <w:szCs w:val="18"/>
                <w:lang w:eastAsia="zh-CN" w:bidi="hi-IN"/>
              </w:rPr>
            </w:pPr>
            <w:r>
              <w:rPr>
                <w:rFonts w:cs="Lohit Devanagari"/>
                <w:color w:val="00000A"/>
                <w:sz w:val="18"/>
                <w:szCs w:val="18"/>
                <w:lang w:eastAsia="zh-CN" w:bidi="hi-IN"/>
              </w:rPr>
              <w:t>99292622,32</w:t>
            </w:r>
          </w:p>
        </w:tc>
        <w:tc>
          <w:tcPr>
            <w:tcW w:w="379"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color w:val="000000"/>
                <w:sz w:val="20"/>
                <w:szCs w:val="20"/>
                <w:lang w:eastAsia="zh-CN" w:bidi="hi-IN"/>
              </w:rPr>
            </w:pPr>
            <w:r>
              <w:rPr>
                <w:color w:val="000000"/>
                <w:sz w:val="20"/>
                <w:szCs w:val="20"/>
                <w:lang w:eastAsia="zh-CN" w:bidi="hi-IN"/>
              </w:rPr>
              <w:t>39,32/7,86</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spacing w:line="256" w:lineRule="auto"/>
              <w:rPr>
                <w:rFonts w:cs="Lohit Devanagari"/>
                <w:b/>
                <w:color w:val="00000A"/>
                <w:lang w:eastAsia="zh-CN" w:bidi="hi-IN"/>
              </w:rPr>
            </w:pPr>
          </w:p>
        </w:tc>
      </w:tr>
    </w:tbl>
    <w:p w:rsidR="00D56D1F" w:rsidRDefault="00D56D1F" w:rsidP="00D56D1F">
      <w:pPr>
        <w:ind w:left="142" w:firstLine="567"/>
        <w:jc w:val="both"/>
      </w:pPr>
    </w:p>
    <w:tbl>
      <w:tblPr>
        <w:tblW w:w="5000" w:type="pct"/>
        <w:tblLook w:val="04A0" w:firstRow="1" w:lastRow="0" w:firstColumn="1" w:lastColumn="0" w:noHBand="0" w:noVBand="1"/>
      </w:tblPr>
      <w:tblGrid>
        <w:gridCol w:w="952"/>
        <w:gridCol w:w="1229"/>
        <w:gridCol w:w="1080"/>
        <w:gridCol w:w="1430"/>
        <w:gridCol w:w="1260"/>
        <w:gridCol w:w="1260"/>
        <w:gridCol w:w="1175"/>
        <w:gridCol w:w="959"/>
      </w:tblGrid>
      <w:tr w:rsidR="00D56D1F" w:rsidTr="00185A5E">
        <w:trPr>
          <w:trHeight w:val="84"/>
        </w:trPr>
        <w:tc>
          <w:tcPr>
            <w:tcW w:w="352"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jc w:val="center"/>
              <w:rPr>
                <w:rFonts w:cs="Lohit Devanagari"/>
                <w:color w:val="00000A"/>
                <w:sz w:val="18"/>
                <w:szCs w:val="18"/>
                <w:lang w:eastAsia="zh-CN" w:bidi="hi-IN"/>
              </w:rPr>
            </w:pPr>
            <w:r>
              <w:rPr>
                <w:b/>
                <w:bCs/>
                <w:color w:val="00000A"/>
                <w:sz w:val="18"/>
                <w:szCs w:val="18"/>
                <w:lang w:eastAsia="zh-CN" w:bidi="hi-IN"/>
              </w:rPr>
              <w:t>Номер заявки</w:t>
            </w:r>
          </w:p>
        </w:tc>
        <w:tc>
          <w:tcPr>
            <w:tcW w:w="457"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jc w:val="center"/>
              <w:rPr>
                <w:rFonts w:cs="Lohit Devanagari"/>
                <w:color w:val="00000A"/>
                <w:sz w:val="18"/>
                <w:szCs w:val="18"/>
                <w:lang w:eastAsia="zh-CN" w:bidi="hi-IN"/>
              </w:rPr>
            </w:pPr>
            <w:r>
              <w:rPr>
                <w:b/>
                <w:bCs/>
                <w:color w:val="00000A"/>
                <w:sz w:val="18"/>
                <w:szCs w:val="18"/>
                <w:lang w:eastAsia="zh-CN" w:bidi="hi-IN"/>
              </w:rPr>
              <w:t>Решение комиссии</w:t>
            </w:r>
          </w:p>
        </w:tc>
        <w:tc>
          <w:tcPr>
            <w:tcW w:w="612" w:type="pct"/>
            <w:tcBorders>
              <w:top w:val="single" w:sz="4" w:space="0" w:color="000000"/>
              <w:left w:val="single" w:sz="4" w:space="0" w:color="000000"/>
              <w:bottom w:val="single" w:sz="4" w:space="0" w:color="auto"/>
              <w:right w:val="single" w:sz="4" w:space="0" w:color="000000"/>
            </w:tcBorders>
            <w:vAlign w:val="center"/>
            <w:hideMark/>
          </w:tcPr>
          <w:p w:rsidR="00D56D1F" w:rsidRDefault="00D56D1F" w:rsidP="00185A5E">
            <w:pPr>
              <w:widowControl w:val="0"/>
              <w:spacing w:line="264" w:lineRule="auto"/>
              <w:jc w:val="center"/>
              <w:rPr>
                <w:b/>
                <w:bCs/>
                <w:color w:val="00000A"/>
                <w:sz w:val="18"/>
                <w:szCs w:val="18"/>
                <w:lang w:eastAsia="zh-CN" w:bidi="hi-IN"/>
              </w:rPr>
            </w:pPr>
            <w:r>
              <w:rPr>
                <w:b/>
                <w:color w:val="00000A"/>
                <w:sz w:val="18"/>
                <w:szCs w:val="18"/>
                <w:lang w:eastAsia="zh-CN" w:bidi="hi-IN"/>
              </w:rPr>
              <w:t>Показатель оценки</w:t>
            </w:r>
          </w:p>
        </w:tc>
        <w:tc>
          <w:tcPr>
            <w:tcW w:w="1835" w:type="pct"/>
            <w:tcBorders>
              <w:top w:val="single" w:sz="4" w:space="0" w:color="000000"/>
              <w:left w:val="single" w:sz="4" w:space="0" w:color="000000"/>
              <w:bottom w:val="single" w:sz="4" w:space="0" w:color="auto"/>
              <w:right w:val="single" w:sz="4" w:space="0" w:color="000000"/>
            </w:tcBorders>
            <w:vAlign w:val="center"/>
            <w:hideMark/>
          </w:tcPr>
          <w:p w:rsidR="00D56D1F" w:rsidRDefault="00D56D1F" w:rsidP="00185A5E">
            <w:pPr>
              <w:widowControl w:val="0"/>
              <w:autoSpaceDE w:val="0"/>
              <w:autoSpaceDN w:val="0"/>
              <w:adjustRightInd w:val="0"/>
              <w:ind w:left="-81" w:right="-63"/>
              <w:jc w:val="center"/>
              <w:rPr>
                <w:b/>
                <w:sz w:val="18"/>
                <w:szCs w:val="18"/>
              </w:rPr>
            </w:pPr>
            <w:r>
              <w:rPr>
                <w:b/>
                <w:sz w:val="18"/>
                <w:szCs w:val="18"/>
              </w:rPr>
              <w:t>Показатель оценки, детализирующий</w:t>
            </w:r>
          </w:p>
          <w:p w:rsidR="00D56D1F" w:rsidRDefault="00D56D1F" w:rsidP="00185A5E">
            <w:pPr>
              <w:widowControl w:val="0"/>
              <w:spacing w:line="264" w:lineRule="auto"/>
              <w:jc w:val="center"/>
              <w:rPr>
                <w:b/>
                <w:bCs/>
                <w:color w:val="00000A"/>
                <w:sz w:val="18"/>
                <w:szCs w:val="18"/>
                <w:lang w:eastAsia="zh-CN" w:bidi="hi-IN"/>
              </w:rPr>
            </w:pPr>
            <w:r>
              <w:rPr>
                <w:b/>
                <w:color w:val="00000A"/>
                <w:sz w:val="18"/>
                <w:szCs w:val="18"/>
                <w:lang w:eastAsia="zh-CN" w:bidi="hi-IN"/>
              </w:rPr>
              <w:t>показатель оценки</w:t>
            </w:r>
          </w:p>
        </w:tc>
        <w:tc>
          <w:tcPr>
            <w:tcW w:w="483"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rFonts w:cs="Lohit Devanagari"/>
                <w:color w:val="00000A"/>
                <w:sz w:val="18"/>
                <w:szCs w:val="18"/>
                <w:lang w:eastAsia="zh-CN" w:bidi="hi-IN"/>
              </w:rPr>
            </w:pPr>
            <w:r>
              <w:rPr>
                <w:b/>
                <w:bCs/>
                <w:color w:val="00000A"/>
                <w:sz w:val="18"/>
                <w:szCs w:val="18"/>
                <w:lang w:eastAsia="zh-CN" w:bidi="hi-IN"/>
              </w:rPr>
              <w:t>Предложение участника</w:t>
            </w:r>
          </w:p>
        </w:tc>
        <w:tc>
          <w:tcPr>
            <w:tcW w:w="469"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b/>
                <w:bCs/>
                <w:color w:val="00000A"/>
                <w:sz w:val="18"/>
                <w:szCs w:val="18"/>
                <w:lang w:eastAsia="zh-CN" w:bidi="hi-IN"/>
              </w:rPr>
            </w:pPr>
            <w:r>
              <w:rPr>
                <w:b/>
                <w:bCs/>
                <w:color w:val="00000A"/>
                <w:sz w:val="18"/>
                <w:szCs w:val="18"/>
                <w:lang w:eastAsia="zh-CN" w:bidi="hi-IN"/>
              </w:rPr>
              <w:t>Принято  комиссией</w:t>
            </w:r>
          </w:p>
        </w:tc>
        <w:tc>
          <w:tcPr>
            <w:tcW w:w="437"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b/>
                <w:bCs/>
                <w:color w:val="00000A"/>
                <w:sz w:val="18"/>
                <w:szCs w:val="18"/>
                <w:lang w:eastAsia="zh-CN" w:bidi="hi-IN"/>
              </w:rPr>
            </w:pPr>
            <w:r>
              <w:rPr>
                <w:b/>
                <w:bCs/>
                <w:color w:val="00000A"/>
                <w:sz w:val="18"/>
                <w:szCs w:val="18"/>
                <w:lang w:eastAsia="zh-CN" w:bidi="hi-IN"/>
              </w:rPr>
              <w:t xml:space="preserve">Оценка по показателю </w:t>
            </w:r>
          </w:p>
          <w:p w:rsidR="00D56D1F" w:rsidRDefault="00D56D1F" w:rsidP="00185A5E">
            <w:pPr>
              <w:widowControl w:val="0"/>
              <w:spacing w:line="264" w:lineRule="auto"/>
              <w:jc w:val="center"/>
              <w:rPr>
                <w:bCs/>
                <w:i/>
                <w:color w:val="00000A"/>
                <w:sz w:val="12"/>
                <w:szCs w:val="12"/>
                <w:lang w:eastAsia="zh-CN" w:bidi="hi-IN"/>
              </w:rPr>
            </w:pPr>
            <w:r>
              <w:rPr>
                <w:bCs/>
                <w:i/>
                <w:color w:val="00000A"/>
                <w:sz w:val="12"/>
                <w:szCs w:val="12"/>
                <w:lang w:eastAsia="zh-CN" w:bidi="hi-IN"/>
              </w:rPr>
              <w:t xml:space="preserve">без учета / </w:t>
            </w:r>
          </w:p>
          <w:p w:rsidR="00D56D1F" w:rsidRDefault="00D56D1F" w:rsidP="00185A5E">
            <w:pPr>
              <w:widowControl w:val="0"/>
              <w:spacing w:line="264" w:lineRule="auto"/>
              <w:jc w:val="center"/>
              <w:rPr>
                <w:rFonts w:cs="Lohit Devanagari"/>
                <w:color w:val="00000A"/>
                <w:sz w:val="18"/>
                <w:szCs w:val="18"/>
                <w:lang w:eastAsia="zh-CN" w:bidi="hi-IN"/>
              </w:rPr>
            </w:pPr>
            <w:r>
              <w:rPr>
                <w:bCs/>
                <w:i/>
                <w:color w:val="00000A"/>
                <w:sz w:val="12"/>
                <w:szCs w:val="12"/>
                <w:lang w:eastAsia="zh-CN" w:bidi="hi-IN"/>
              </w:rPr>
              <w:t>с учетом значимости</w:t>
            </w:r>
          </w:p>
        </w:tc>
        <w:tc>
          <w:tcPr>
            <w:tcW w:w="355"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b/>
                <w:bCs/>
                <w:color w:val="00000A"/>
                <w:sz w:val="18"/>
                <w:szCs w:val="18"/>
                <w:lang w:eastAsia="zh-CN" w:bidi="hi-IN"/>
              </w:rPr>
            </w:pPr>
            <w:r>
              <w:rPr>
                <w:b/>
                <w:bCs/>
                <w:color w:val="00000A"/>
                <w:sz w:val="18"/>
                <w:szCs w:val="18"/>
                <w:lang w:eastAsia="zh-CN" w:bidi="hi-IN"/>
              </w:rPr>
              <w:t xml:space="preserve">Оценка по критерию </w:t>
            </w:r>
          </w:p>
          <w:p w:rsidR="00D56D1F" w:rsidRDefault="00D56D1F" w:rsidP="00185A5E">
            <w:pPr>
              <w:widowControl w:val="0"/>
              <w:spacing w:line="264" w:lineRule="auto"/>
              <w:jc w:val="center"/>
              <w:rPr>
                <w:bCs/>
                <w:i/>
                <w:color w:val="00000A"/>
                <w:sz w:val="12"/>
                <w:szCs w:val="12"/>
                <w:lang w:eastAsia="zh-CN" w:bidi="hi-IN"/>
              </w:rPr>
            </w:pPr>
            <w:r>
              <w:rPr>
                <w:bCs/>
                <w:i/>
                <w:color w:val="00000A"/>
                <w:sz w:val="12"/>
                <w:szCs w:val="12"/>
                <w:lang w:eastAsia="zh-CN" w:bidi="hi-IN"/>
              </w:rPr>
              <w:t xml:space="preserve">без учета / </w:t>
            </w:r>
          </w:p>
          <w:p w:rsidR="00D56D1F" w:rsidRDefault="00D56D1F" w:rsidP="00185A5E">
            <w:pPr>
              <w:widowControl w:val="0"/>
              <w:spacing w:line="264" w:lineRule="auto"/>
              <w:jc w:val="center"/>
              <w:rPr>
                <w:rFonts w:cs="Lohit Devanagari"/>
                <w:color w:val="00000A"/>
                <w:sz w:val="18"/>
                <w:szCs w:val="18"/>
                <w:lang w:eastAsia="zh-CN" w:bidi="hi-IN"/>
              </w:rPr>
            </w:pPr>
            <w:r>
              <w:rPr>
                <w:bCs/>
                <w:i/>
                <w:color w:val="00000A"/>
                <w:sz w:val="12"/>
                <w:szCs w:val="12"/>
                <w:lang w:eastAsia="zh-CN" w:bidi="hi-IN"/>
              </w:rPr>
              <w:t>с учетом значимости</w:t>
            </w:r>
          </w:p>
        </w:tc>
      </w:tr>
      <w:tr w:rsidR="00D56D1F" w:rsidTr="00185A5E">
        <w:trPr>
          <w:trHeight w:val="357"/>
        </w:trPr>
        <w:tc>
          <w:tcPr>
            <w:tcW w:w="352" w:type="pct"/>
            <w:vMerge w:val="restart"/>
            <w:tcBorders>
              <w:top w:val="single" w:sz="4" w:space="0" w:color="000000"/>
              <w:left w:val="single" w:sz="4" w:space="0" w:color="000000"/>
              <w:bottom w:val="single" w:sz="4" w:space="0" w:color="000000"/>
              <w:right w:val="single" w:sz="4" w:space="0" w:color="000000"/>
            </w:tcBorders>
          </w:tcPr>
          <w:p w:rsidR="00D56D1F" w:rsidRDefault="00D56D1F" w:rsidP="00185A5E">
            <w:pPr>
              <w:widowControl w:val="0"/>
              <w:spacing w:line="264" w:lineRule="auto"/>
              <w:jc w:val="center"/>
              <w:rPr>
                <w:b/>
                <w:color w:val="000000"/>
                <w:sz w:val="18"/>
                <w:szCs w:val="18"/>
                <w:lang w:eastAsia="zh-CN" w:bidi="hi-IN"/>
              </w:rPr>
            </w:pPr>
            <w:r>
              <w:rPr>
                <w:b/>
                <w:color w:val="000000"/>
                <w:sz w:val="18"/>
                <w:szCs w:val="18"/>
                <w:lang w:val="en-US" w:eastAsia="zh-CN" w:bidi="hi-IN"/>
              </w:rPr>
              <w:t>115297788</w:t>
            </w:r>
            <w:r>
              <w:rPr>
                <w:b/>
                <w:color w:val="000000"/>
                <w:sz w:val="18"/>
                <w:szCs w:val="18"/>
                <w:lang w:eastAsia="zh-CN" w:bidi="hi-IN"/>
              </w:rPr>
              <w:br/>
            </w:r>
          </w:p>
          <w:p w:rsidR="00D56D1F" w:rsidRDefault="00D56D1F" w:rsidP="00185A5E">
            <w:pPr>
              <w:widowControl w:val="0"/>
              <w:spacing w:line="264" w:lineRule="auto"/>
              <w:rPr>
                <w:rFonts w:cs="Lohit Devanagari"/>
                <w:color w:val="00000A"/>
                <w:sz w:val="18"/>
                <w:szCs w:val="18"/>
                <w:lang w:eastAsia="zh-CN" w:bidi="hi-IN"/>
              </w:rPr>
            </w:pPr>
          </w:p>
        </w:tc>
        <w:tc>
          <w:tcPr>
            <w:tcW w:w="457" w:type="pct"/>
            <w:vMerge w:val="restart"/>
            <w:tcBorders>
              <w:top w:val="single" w:sz="4" w:space="0" w:color="000000"/>
              <w:left w:val="single" w:sz="4" w:space="0" w:color="000000"/>
              <w:bottom w:val="single" w:sz="4" w:space="0" w:color="000000"/>
              <w:right w:val="single" w:sz="4" w:space="0" w:color="auto"/>
            </w:tcBorders>
          </w:tcPr>
          <w:p w:rsidR="00D56D1F" w:rsidRDefault="00D56D1F" w:rsidP="00185A5E">
            <w:pPr>
              <w:widowControl w:val="0"/>
              <w:spacing w:line="264" w:lineRule="auto"/>
              <w:rPr>
                <w:rFonts w:cs="Lohit Devanagari"/>
                <w:color w:val="00000A"/>
                <w:sz w:val="18"/>
                <w:szCs w:val="18"/>
                <w:lang w:eastAsia="zh-CN" w:bidi="hi-IN"/>
              </w:rPr>
            </w:pPr>
            <w:r>
              <w:rPr>
                <w:color w:val="000000"/>
                <w:sz w:val="18"/>
                <w:szCs w:val="18"/>
                <w:lang w:val="en-US" w:eastAsia="zh-CN" w:bidi="hi-IN"/>
              </w:rPr>
              <w:t>Соответствует</w:t>
            </w:r>
          </w:p>
          <w:p w:rsidR="00D56D1F" w:rsidRDefault="00D56D1F" w:rsidP="00185A5E">
            <w:pPr>
              <w:widowControl w:val="0"/>
              <w:spacing w:line="264" w:lineRule="auto"/>
              <w:rPr>
                <w:rFonts w:cs="Lohit Devanagari"/>
                <w:color w:val="00000A"/>
                <w:sz w:val="18"/>
                <w:szCs w:val="18"/>
                <w:lang w:eastAsia="zh-CN" w:bidi="hi-IN"/>
              </w:rPr>
            </w:pPr>
          </w:p>
        </w:tc>
        <w:tc>
          <w:tcPr>
            <w:tcW w:w="612" w:type="pct"/>
            <w:vMerge w:val="restart"/>
            <w:tcBorders>
              <w:top w:val="single" w:sz="4" w:space="0" w:color="auto"/>
              <w:left w:val="single" w:sz="4" w:space="0" w:color="auto"/>
              <w:bottom w:val="single" w:sz="4" w:space="0" w:color="auto"/>
              <w:right w:val="single" w:sz="4" w:space="0" w:color="auto"/>
            </w:tcBorders>
            <w:hideMark/>
          </w:tcPr>
          <w:p w:rsidR="00D56D1F" w:rsidRDefault="00D56D1F" w:rsidP="00185A5E">
            <w:pPr>
              <w:widowControl w:val="0"/>
              <w:spacing w:line="264" w:lineRule="auto"/>
              <w:rPr>
                <w:rFonts w:cs="Lohit Devanagari"/>
                <w:b/>
                <w:color w:val="00000A"/>
                <w:sz w:val="18"/>
                <w:szCs w:val="18"/>
                <w:lang w:bidi="hi-IN"/>
              </w:rPr>
            </w:pPr>
            <w:r>
              <w:rPr>
                <w:color w:val="00000A"/>
                <w:sz w:val="18"/>
                <w:szCs w:val="18"/>
                <w:lang w:eastAsia="zh-CN" w:bidi="hi-IN"/>
              </w:rPr>
              <w:t xml:space="preserve">Наличие у участников закупки </w:t>
            </w:r>
            <w:r>
              <w:rPr>
                <w:b/>
                <w:color w:val="00000A"/>
                <w:sz w:val="18"/>
                <w:szCs w:val="18"/>
                <w:lang w:eastAsia="zh-CN" w:bidi="hi-IN"/>
              </w:rPr>
              <w:t>опыта</w:t>
            </w:r>
            <w:r>
              <w:rPr>
                <w:color w:val="00000A"/>
                <w:sz w:val="18"/>
                <w:szCs w:val="18"/>
                <w:lang w:eastAsia="zh-CN" w:bidi="hi-IN"/>
              </w:rPr>
              <w:t xml:space="preserve"> работы, связанного с предметом контракта</w:t>
            </w:r>
          </w:p>
        </w:tc>
        <w:tc>
          <w:tcPr>
            <w:tcW w:w="1835" w:type="pct"/>
            <w:tcBorders>
              <w:top w:val="single" w:sz="4" w:space="0" w:color="auto"/>
              <w:left w:val="single" w:sz="4" w:space="0" w:color="auto"/>
              <w:bottom w:val="nil"/>
              <w:right w:val="single" w:sz="4" w:space="0" w:color="auto"/>
            </w:tcBorders>
            <w:hideMark/>
          </w:tcPr>
          <w:p w:rsidR="00D56D1F" w:rsidRDefault="00D56D1F" w:rsidP="00185A5E">
            <w:pPr>
              <w:widowControl w:val="0"/>
              <w:tabs>
                <w:tab w:val="left" w:pos="3002"/>
              </w:tabs>
              <w:autoSpaceDE w:val="0"/>
              <w:autoSpaceDN w:val="0"/>
              <w:adjustRightInd w:val="0"/>
              <w:rPr>
                <w:sz w:val="18"/>
                <w:szCs w:val="18"/>
              </w:rPr>
            </w:pPr>
            <w:r>
              <w:rPr>
                <w:b/>
                <w:sz w:val="18"/>
                <w:szCs w:val="18"/>
              </w:rPr>
              <w:t>характеристика квалификации участников закупки № 1</w:t>
            </w:r>
            <w:r>
              <w:rPr>
                <w:i/>
                <w:sz w:val="18"/>
                <w:szCs w:val="18"/>
              </w:rPr>
              <w:t xml:space="preserve"> (общее количество исполненных участником закупки договоров). </w:t>
            </w:r>
          </w:p>
        </w:tc>
        <w:tc>
          <w:tcPr>
            <w:tcW w:w="483" w:type="pct"/>
            <w:tcBorders>
              <w:top w:val="single" w:sz="4" w:space="0" w:color="000000"/>
              <w:left w:val="single" w:sz="4" w:space="0" w:color="auto"/>
              <w:bottom w:val="nil"/>
              <w:right w:val="single" w:sz="4" w:space="0" w:color="000000"/>
            </w:tcBorders>
            <w:vAlign w:val="center"/>
            <w:hideMark/>
          </w:tcPr>
          <w:p w:rsidR="00D56D1F" w:rsidRDefault="00D56D1F" w:rsidP="00185A5E">
            <w:pPr>
              <w:widowControl w:val="0"/>
              <w:spacing w:line="264" w:lineRule="auto"/>
              <w:jc w:val="center"/>
              <w:rPr>
                <w:rFonts w:cs="Lohit Devanagari"/>
                <w:color w:val="00000A"/>
                <w:sz w:val="20"/>
                <w:szCs w:val="20"/>
                <w:lang w:eastAsia="zh-CN" w:bidi="hi-IN"/>
              </w:rPr>
            </w:pPr>
            <w:r>
              <w:rPr>
                <w:rFonts w:cs="Lohit Devanagari"/>
                <w:color w:val="00000A"/>
                <w:sz w:val="20"/>
                <w:szCs w:val="20"/>
                <w:lang w:eastAsia="zh-CN" w:bidi="hi-IN"/>
              </w:rPr>
              <w:t>68</w:t>
            </w:r>
          </w:p>
        </w:tc>
        <w:tc>
          <w:tcPr>
            <w:tcW w:w="469" w:type="pct"/>
            <w:tcBorders>
              <w:top w:val="single" w:sz="4" w:space="0" w:color="000000"/>
              <w:left w:val="single" w:sz="4" w:space="0" w:color="000000"/>
              <w:bottom w:val="nil"/>
              <w:right w:val="single" w:sz="4" w:space="0" w:color="000000"/>
            </w:tcBorders>
            <w:vAlign w:val="center"/>
            <w:hideMark/>
          </w:tcPr>
          <w:p w:rsidR="00D56D1F" w:rsidRDefault="00D56D1F" w:rsidP="00185A5E">
            <w:pPr>
              <w:widowControl w:val="0"/>
              <w:spacing w:line="264" w:lineRule="auto"/>
              <w:jc w:val="center"/>
              <w:rPr>
                <w:color w:val="000000"/>
                <w:sz w:val="20"/>
                <w:szCs w:val="20"/>
                <w:lang w:eastAsia="zh-CN" w:bidi="hi-IN"/>
              </w:rPr>
            </w:pPr>
            <w:r>
              <w:rPr>
                <w:color w:val="000000"/>
                <w:sz w:val="20"/>
                <w:szCs w:val="20"/>
                <w:lang w:eastAsia="zh-CN" w:bidi="hi-IN"/>
              </w:rPr>
              <w:t>68</w:t>
            </w:r>
          </w:p>
        </w:tc>
        <w:tc>
          <w:tcPr>
            <w:tcW w:w="437" w:type="pct"/>
            <w:tcBorders>
              <w:top w:val="single" w:sz="4" w:space="0" w:color="000000"/>
              <w:left w:val="single" w:sz="4" w:space="0" w:color="000000"/>
              <w:bottom w:val="nil"/>
              <w:right w:val="single" w:sz="4" w:space="0" w:color="000000"/>
            </w:tcBorders>
            <w:vAlign w:val="center"/>
          </w:tcPr>
          <w:p w:rsidR="00D56D1F" w:rsidRDefault="00D56D1F" w:rsidP="00185A5E">
            <w:pPr>
              <w:widowControl w:val="0"/>
              <w:spacing w:line="264" w:lineRule="auto"/>
              <w:jc w:val="center"/>
              <w:rPr>
                <w:color w:val="000000"/>
                <w:sz w:val="20"/>
                <w:szCs w:val="20"/>
                <w:lang w:eastAsia="zh-CN" w:bidi="hi-IN"/>
              </w:rPr>
            </w:pPr>
            <w:r>
              <w:rPr>
                <w:color w:val="000000"/>
                <w:sz w:val="20"/>
                <w:szCs w:val="20"/>
                <w:lang w:eastAsia="zh-CN" w:bidi="hi-IN"/>
              </w:rPr>
              <w:t>84,85/67,88</w:t>
            </w:r>
          </w:p>
        </w:tc>
        <w:tc>
          <w:tcPr>
            <w:tcW w:w="355" w:type="pct"/>
            <w:vMerge w:val="restart"/>
            <w:tcBorders>
              <w:top w:val="single" w:sz="4" w:space="0" w:color="000000"/>
              <w:left w:val="single" w:sz="4" w:space="0" w:color="000000"/>
              <w:bottom w:val="single" w:sz="4" w:space="0" w:color="000000"/>
              <w:right w:val="single" w:sz="4" w:space="0" w:color="000000"/>
            </w:tcBorders>
            <w:vAlign w:val="center"/>
          </w:tcPr>
          <w:p w:rsidR="00D56D1F" w:rsidRDefault="00D56D1F" w:rsidP="00185A5E">
            <w:pPr>
              <w:widowControl w:val="0"/>
              <w:spacing w:line="264" w:lineRule="auto"/>
              <w:jc w:val="center"/>
              <w:rPr>
                <w:rFonts w:cs="Lohit Devanagari"/>
                <w:color w:val="00000A"/>
                <w:sz w:val="20"/>
                <w:szCs w:val="20"/>
                <w:lang w:eastAsia="zh-CN" w:bidi="hi-IN"/>
              </w:rPr>
            </w:pPr>
            <w:r>
              <w:rPr>
                <w:rFonts w:cs="Lohit Devanagari"/>
                <w:color w:val="00000A"/>
                <w:sz w:val="20"/>
                <w:szCs w:val="20"/>
                <w:lang w:eastAsia="zh-CN" w:bidi="hi-IN"/>
              </w:rPr>
              <w:t>87,88/</w:t>
            </w:r>
          </w:p>
          <w:p w:rsidR="00D56D1F" w:rsidRPr="00DB22E2" w:rsidRDefault="00D56D1F" w:rsidP="00185A5E">
            <w:pPr>
              <w:widowControl w:val="0"/>
              <w:spacing w:line="264" w:lineRule="auto"/>
              <w:jc w:val="center"/>
              <w:rPr>
                <w:rFonts w:cs="Lohit Devanagari"/>
                <w:b/>
                <w:color w:val="00000A"/>
                <w:sz w:val="20"/>
                <w:szCs w:val="20"/>
                <w:lang w:eastAsia="zh-CN" w:bidi="hi-IN"/>
              </w:rPr>
            </w:pPr>
            <w:r w:rsidRPr="00DB22E2">
              <w:rPr>
                <w:rFonts w:cs="Lohit Devanagari"/>
                <w:b/>
                <w:color w:val="00000A"/>
                <w:sz w:val="20"/>
                <w:szCs w:val="20"/>
                <w:lang w:eastAsia="zh-CN" w:bidi="hi-IN"/>
              </w:rPr>
              <w:t>35,15</w:t>
            </w:r>
          </w:p>
        </w:tc>
      </w:tr>
      <w:tr w:rsidR="00D56D1F" w:rsidTr="00185A5E">
        <w:trPr>
          <w:trHeight w:val="14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spacing w:line="256" w:lineRule="auto"/>
              <w:rPr>
                <w:rFonts w:cs="Lohit Devanagari"/>
                <w:color w:val="00000A"/>
                <w:sz w:val="18"/>
                <w:szCs w:val="18"/>
                <w:lang w:eastAsia="zh-CN" w:bidi="hi-IN"/>
              </w:rPr>
            </w:pPr>
          </w:p>
        </w:tc>
        <w:tc>
          <w:tcPr>
            <w:tcW w:w="0" w:type="auto"/>
            <w:vMerge/>
            <w:tcBorders>
              <w:top w:val="single" w:sz="4" w:space="0" w:color="000000"/>
              <w:left w:val="single" w:sz="4" w:space="0" w:color="000000"/>
              <w:bottom w:val="single" w:sz="4" w:space="0" w:color="000000"/>
              <w:right w:val="single" w:sz="4" w:space="0" w:color="auto"/>
            </w:tcBorders>
            <w:vAlign w:val="center"/>
            <w:hideMark/>
          </w:tcPr>
          <w:p w:rsidR="00D56D1F" w:rsidRDefault="00D56D1F" w:rsidP="00185A5E">
            <w:pPr>
              <w:spacing w:line="256" w:lineRule="auto"/>
              <w:rPr>
                <w:rFonts w:cs="Lohit Devanagari"/>
                <w:color w:val="00000A"/>
                <w:sz w:val="18"/>
                <w:szCs w:val="18"/>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6D1F" w:rsidRDefault="00D56D1F" w:rsidP="00185A5E">
            <w:pPr>
              <w:spacing w:line="256" w:lineRule="auto"/>
              <w:rPr>
                <w:rFonts w:cs="Lohit Devanagari"/>
                <w:b/>
                <w:color w:val="00000A"/>
                <w:sz w:val="18"/>
                <w:szCs w:val="18"/>
                <w:lang w:bidi="hi-IN"/>
              </w:rPr>
            </w:pPr>
          </w:p>
        </w:tc>
        <w:tc>
          <w:tcPr>
            <w:tcW w:w="1835" w:type="pct"/>
            <w:tcBorders>
              <w:top w:val="single" w:sz="4" w:space="0" w:color="auto"/>
              <w:left w:val="single" w:sz="4" w:space="0" w:color="auto"/>
              <w:bottom w:val="single" w:sz="4" w:space="0" w:color="auto"/>
              <w:right w:val="single" w:sz="4" w:space="0" w:color="auto"/>
            </w:tcBorders>
            <w:hideMark/>
          </w:tcPr>
          <w:p w:rsidR="00D56D1F" w:rsidRDefault="00D56D1F" w:rsidP="00185A5E">
            <w:pPr>
              <w:tabs>
                <w:tab w:val="left" w:pos="3002"/>
              </w:tabs>
              <w:rPr>
                <w:sz w:val="18"/>
                <w:szCs w:val="18"/>
              </w:rPr>
            </w:pPr>
            <w:r>
              <w:rPr>
                <w:b/>
                <w:sz w:val="18"/>
                <w:szCs w:val="18"/>
              </w:rPr>
              <w:t>характеристика квалификации участников закупки № 2</w:t>
            </w:r>
            <w:r>
              <w:rPr>
                <w:i/>
                <w:sz w:val="18"/>
                <w:szCs w:val="18"/>
              </w:rPr>
              <w:t xml:space="preserve"> (наибольшая цена одного из исполненных участником закупки договоров). </w:t>
            </w:r>
          </w:p>
        </w:tc>
        <w:tc>
          <w:tcPr>
            <w:tcW w:w="483" w:type="pct"/>
            <w:tcBorders>
              <w:top w:val="single" w:sz="4" w:space="0" w:color="000000"/>
              <w:left w:val="single" w:sz="4" w:space="0" w:color="auto"/>
              <w:bottom w:val="single" w:sz="4" w:space="0" w:color="000000"/>
              <w:right w:val="single" w:sz="4" w:space="0" w:color="000000"/>
            </w:tcBorders>
            <w:vAlign w:val="center"/>
            <w:hideMark/>
          </w:tcPr>
          <w:p w:rsidR="00D56D1F" w:rsidRDefault="00D56D1F" w:rsidP="00185A5E">
            <w:pPr>
              <w:widowControl w:val="0"/>
              <w:spacing w:line="264" w:lineRule="auto"/>
              <w:jc w:val="center"/>
              <w:rPr>
                <w:rFonts w:cs="Lohit Devanagari"/>
                <w:color w:val="00000A"/>
                <w:sz w:val="20"/>
                <w:szCs w:val="20"/>
                <w:lang w:eastAsia="zh-CN" w:bidi="hi-IN"/>
              </w:rPr>
            </w:pPr>
            <w:r>
              <w:rPr>
                <w:rFonts w:cs="Lohit Devanagari"/>
                <w:color w:val="00000A"/>
                <w:sz w:val="20"/>
                <w:szCs w:val="20"/>
                <w:lang w:eastAsia="zh-CN" w:bidi="hi-IN"/>
              </w:rPr>
              <w:t>240270905,65</w:t>
            </w:r>
          </w:p>
        </w:tc>
        <w:tc>
          <w:tcPr>
            <w:tcW w:w="469"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color w:val="000000"/>
                <w:sz w:val="20"/>
                <w:szCs w:val="20"/>
                <w:lang w:eastAsia="zh-CN" w:bidi="hi-IN"/>
              </w:rPr>
            </w:pPr>
            <w:r>
              <w:rPr>
                <w:color w:val="000000"/>
                <w:sz w:val="20"/>
                <w:szCs w:val="20"/>
                <w:lang w:eastAsia="zh-CN" w:bidi="hi-IN"/>
              </w:rPr>
              <w:t>240270905,65</w:t>
            </w:r>
          </w:p>
        </w:tc>
        <w:tc>
          <w:tcPr>
            <w:tcW w:w="437"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color w:val="000000"/>
                <w:sz w:val="20"/>
                <w:szCs w:val="20"/>
                <w:lang w:eastAsia="zh-CN" w:bidi="hi-IN"/>
              </w:rPr>
            </w:pPr>
            <w:r>
              <w:rPr>
                <w:color w:val="000000"/>
                <w:sz w:val="20"/>
                <w:szCs w:val="20"/>
                <w:lang w:eastAsia="zh-CN" w:bidi="hi-IN"/>
              </w:rPr>
              <w:t>100,00/20,00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spacing w:line="256" w:lineRule="auto"/>
              <w:rPr>
                <w:rFonts w:cs="Lohit Devanagari"/>
                <w:color w:val="00000A"/>
                <w:sz w:val="20"/>
                <w:szCs w:val="20"/>
                <w:lang w:eastAsia="zh-CN" w:bidi="hi-IN"/>
              </w:rPr>
            </w:pPr>
          </w:p>
        </w:tc>
      </w:tr>
    </w:tbl>
    <w:p w:rsidR="00D56D1F" w:rsidRDefault="00D56D1F" w:rsidP="00D56D1F">
      <w:pPr>
        <w:spacing w:before="120" w:after="120"/>
        <w:jc w:val="both"/>
      </w:pPr>
    </w:p>
    <w:tbl>
      <w:tblPr>
        <w:tblW w:w="5000" w:type="pct"/>
        <w:tblLook w:val="04A0" w:firstRow="1" w:lastRow="0" w:firstColumn="1" w:lastColumn="0" w:noHBand="0" w:noVBand="1"/>
      </w:tblPr>
      <w:tblGrid>
        <w:gridCol w:w="984"/>
        <w:gridCol w:w="1273"/>
        <w:gridCol w:w="1117"/>
        <w:gridCol w:w="1483"/>
        <w:gridCol w:w="1258"/>
        <w:gridCol w:w="1116"/>
        <w:gridCol w:w="1123"/>
        <w:gridCol w:w="991"/>
      </w:tblGrid>
      <w:tr w:rsidR="00D56D1F" w:rsidTr="00185A5E">
        <w:trPr>
          <w:trHeight w:val="84"/>
        </w:trPr>
        <w:tc>
          <w:tcPr>
            <w:tcW w:w="352"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jc w:val="center"/>
              <w:rPr>
                <w:rFonts w:cs="Lohit Devanagari"/>
                <w:color w:val="00000A"/>
                <w:sz w:val="18"/>
                <w:szCs w:val="18"/>
                <w:lang w:eastAsia="zh-CN" w:bidi="hi-IN"/>
              </w:rPr>
            </w:pPr>
            <w:r>
              <w:rPr>
                <w:b/>
                <w:bCs/>
                <w:color w:val="00000A"/>
                <w:sz w:val="18"/>
                <w:szCs w:val="18"/>
                <w:lang w:eastAsia="zh-CN" w:bidi="hi-IN"/>
              </w:rPr>
              <w:t>Номер заявки</w:t>
            </w:r>
          </w:p>
        </w:tc>
        <w:tc>
          <w:tcPr>
            <w:tcW w:w="465"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jc w:val="center"/>
              <w:rPr>
                <w:rFonts w:cs="Lohit Devanagari"/>
                <w:color w:val="00000A"/>
                <w:sz w:val="18"/>
                <w:szCs w:val="18"/>
                <w:lang w:eastAsia="zh-CN" w:bidi="hi-IN"/>
              </w:rPr>
            </w:pPr>
            <w:r>
              <w:rPr>
                <w:b/>
                <w:bCs/>
                <w:color w:val="00000A"/>
                <w:sz w:val="18"/>
                <w:szCs w:val="18"/>
                <w:lang w:eastAsia="zh-CN" w:bidi="hi-IN"/>
              </w:rPr>
              <w:t>Решение комиссии</w:t>
            </w:r>
          </w:p>
        </w:tc>
        <w:tc>
          <w:tcPr>
            <w:tcW w:w="652" w:type="pct"/>
            <w:tcBorders>
              <w:top w:val="single" w:sz="4" w:space="0" w:color="000000"/>
              <w:left w:val="single" w:sz="4" w:space="0" w:color="000000"/>
              <w:bottom w:val="single" w:sz="4" w:space="0" w:color="auto"/>
              <w:right w:val="single" w:sz="4" w:space="0" w:color="000000"/>
            </w:tcBorders>
            <w:vAlign w:val="center"/>
            <w:hideMark/>
          </w:tcPr>
          <w:p w:rsidR="00D56D1F" w:rsidRDefault="00D56D1F" w:rsidP="00185A5E">
            <w:pPr>
              <w:widowControl w:val="0"/>
              <w:spacing w:line="264" w:lineRule="auto"/>
              <w:jc w:val="center"/>
              <w:rPr>
                <w:b/>
                <w:bCs/>
                <w:color w:val="00000A"/>
                <w:sz w:val="18"/>
                <w:szCs w:val="18"/>
                <w:lang w:eastAsia="zh-CN" w:bidi="hi-IN"/>
              </w:rPr>
            </w:pPr>
            <w:r>
              <w:rPr>
                <w:b/>
                <w:color w:val="00000A"/>
                <w:sz w:val="18"/>
                <w:szCs w:val="18"/>
                <w:lang w:eastAsia="zh-CN" w:bidi="hi-IN"/>
              </w:rPr>
              <w:t>Показатель оценки</w:t>
            </w:r>
          </w:p>
        </w:tc>
        <w:tc>
          <w:tcPr>
            <w:tcW w:w="1901" w:type="pct"/>
            <w:tcBorders>
              <w:top w:val="single" w:sz="4" w:space="0" w:color="000000"/>
              <w:left w:val="single" w:sz="4" w:space="0" w:color="000000"/>
              <w:bottom w:val="single" w:sz="4" w:space="0" w:color="auto"/>
              <w:right w:val="single" w:sz="4" w:space="0" w:color="000000"/>
            </w:tcBorders>
            <w:vAlign w:val="center"/>
            <w:hideMark/>
          </w:tcPr>
          <w:p w:rsidR="00D56D1F" w:rsidRDefault="00D56D1F" w:rsidP="00185A5E">
            <w:pPr>
              <w:widowControl w:val="0"/>
              <w:autoSpaceDE w:val="0"/>
              <w:autoSpaceDN w:val="0"/>
              <w:adjustRightInd w:val="0"/>
              <w:ind w:left="-81" w:right="-63"/>
              <w:jc w:val="center"/>
              <w:rPr>
                <w:b/>
                <w:sz w:val="18"/>
                <w:szCs w:val="18"/>
              </w:rPr>
            </w:pPr>
            <w:r>
              <w:rPr>
                <w:b/>
                <w:sz w:val="18"/>
                <w:szCs w:val="18"/>
              </w:rPr>
              <w:t>Показатель оценки, детализирующий</w:t>
            </w:r>
          </w:p>
          <w:p w:rsidR="00D56D1F" w:rsidRDefault="00D56D1F" w:rsidP="00185A5E">
            <w:pPr>
              <w:widowControl w:val="0"/>
              <w:spacing w:line="264" w:lineRule="auto"/>
              <w:jc w:val="center"/>
              <w:rPr>
                <w:b/>
                <w:bCs/>
                <w:color w:val="00000A"/>
                <w:sz w:val="18"/>
                <w:szCs w:val="18"/>
                <w:lang w:eastAsia="zh-CN" w:bidi="hi-IN"/>
              </w:rPr>
            </w:pPr>
            <w:r>
              <w:rPr>
                <w:b/>
                <w:color w:val="00000A"/>
                <w:sz w:val="18"/>
                <w:szCs w:val="18"/>
                <w:lang w:eastAsia="zh-CN" w:bidi="hi-IN"/>
              </w:rPr>
              <w:t>показатель оценки</w:t>
            </w:r>
          </w:p>
        </w:tc>
        <w:tc>
          <w:tcPr>
            <w:tcW w:w="439"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rFonts w:cs="Lohit Devanagari"/>
                <w:color w:val="00000A"/>
                <w:sz w:val="18"/>
                <w:szCs w:val="18"/>
                <w:lang w:eastAsia="zh-CN" w:bidi="hi-IN"/>
              </w:rPr>
            </w:pPr>
            <w:r>
              <w:rPr>
                <w:b/>
                <w:bCs/>
                <w:color w:val="00000A"/>
                <w:sz w:val="18"/>
                <w:szCs w:val="18"/>
                <w:lang w:eastAsia="zh-CN" w:bidi="hi-IN"/>
              </w:rPr>
              <w:t>Предложение участника</w:t>
            </w:r>
          </w:p>
        </w:tc>
        <w:tc>
          <w:tcPr>
            <w:tcW w:w="446"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b/>
                <w:bCs/>
                <w:color w:val="00000A"/>
                <w:sz w:val="18"/>
                <w:szCs w:val="18"/>
                <w:lang w:eastAsia="zh-CN" w:bidi="hi-IN"/>
              </w:rPr>
            </w:pPr>
            <w:r>
              <w:rPr>
                <w:b/>
                <w:bCs/>
                <w:color w:val="00000A"/>
                <w:sz w:val="18"/>
                <w:szCs w:val="18"/>
                <w:lang w:eastAsia="zh-CN" w:bidi="hi-IN"/>
              </w:rPr>
              <w:t>Принято  комиссией</w:t>
            </w:r>
          </w:p>
        </w:tc>
        <w:tc>
          <w:tcPr>
            <w:tcW w:w="379"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b/>
                <w:bCs/>
                <w:color w:val="00000A"/>
                <w:sz w:val="18"/>
                <w:szCs w:val="18"/>
                <w:lang w:eastAsia="zh-CN" w:bidi="hi-IN"/>
              </w:rPr>
            </w:pPr>
            <w:r>
              <w:rPr>
                <w:b/>
                <w:bCs/>
                <w:color w:val="00000A"/>
                <w:sz w:val="18"/>
                <w:szCs w:val="18"/>
                <w:lang w:eastAsia="zh-CN" w:bidi="hi-IN"/>
              </w:rPr>
              <w:t xml:space="preserve">Оценка по показателю </w:t>
            </w:r>
          </w:p>
          <w:p w:rsidR="00D56D1F" w:rsidRDefault="00D56D1F" w:rsidP="00185A5E">
            <w:pPr>
              <w:widowControl w:val="0"/>
              <w:spacing w:line="264" w:lineRule="auto"/>
              <w:jc w:val="center"/>
              <w:rPr>
                <w:bCs/>
                <w:i/>
                <w:color w:val="00000A"/>
                <w:sz w:val="12"/>
                <w:szCs w:val="12"/>
                <w:lang w:eastAsia="zh-CN" w:bidi="hi-IN"/>
              </w:rPr>
            </w:pPr>
            <w:r>
              <w:rPr>
                <w:bCs/>
                <w:i/>
                <w:color w:val="00000A"/>
                <w:sz w:val="12"/>
                <w:szCs w:val="12"/>
                <w:lang w:eastAsia="zh-CN" w:bidi="hi-IN"/>
              </w:rPr>
              <w:t xml:space="preserve">без учета / </w:t>
            </w:r>
          </w:p>
          <w:p w:rsidR="00D56D1F" w:rsidRDefault="00D56D1F" w:rsidP="00185A5E">
            <w:pPr>
              <w:widowControl w:val="0"/>
              <w:spacing w:line="264" w:lineRule="auto"/>
              <w:jc w:val="center"/>
              <w:rPr>
                <w:rFonts w:cs="Lohit Devanagari"/>
                <w:color w:val="00000A"/>
                <w:sz w:val="18"/>
                <w:szCs w:val="18"/>
                <w:lang w:eastAsia="zh-CN" w:bidi="hi-IN"/>
              </w:rPr>
            </w:pPr>
            <w:r>
              <w:rPr>
                <w:bCs/>
                <w:i/>
                <w:color w:val="00000A"/>
                <w:sz w:val="12"/>
                <w:szCs w:val="12"/>
                <w:lang w:eastAsia="zh-CN" w:bidi="hi-IN"/>
              </w:rPr>
              <w:t>с учетом значимости</w:t>
            </w:r>
          </w:p>
        </w:tc>
        <w:tc>
          <w:tcPr>
            <w:tcW w:w="366"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b/>
                <w:bCs/>
                <w:color w:val="00000A"/>
                <w:sz w:val="18"/>
                <w:szCs w:val="18"/>
                <w:lang w:eastAsia="zh-CN" w:bidi="hi-IN"/>
              </w:rPr>
            </w:pPr>
            <w:r>
              <w:rPr>
                <w:b/>
                <w:bCs/>
                <w:color w:val="00000A"/>
                <w:sz w:val="18"/>
                <w:szCs w:val="18"/>
                <w:lang w:eastAsia="zh-CN" w:bidi="hi-IN"/>
              </w:rPr>
              <w:t xml:space="preserve">Оценка по критерию </w:t>
            </w:r>
          </w:p>
          <w:p w:rsidR="00D56D1F" w:rsidRDefault="00D56D1F" w:rsidP="00185A5E">
            <w:pPr>
              <w:widowControl w:val="0"/>
              <w:spacing w:line="264" w:lineRule="auto"/>
              <w:jc w:val="center"/>
              <w:rPr>
                <w:bCs/>
                <w:i/>
                <w:color w:val="00000A"/>
                <w:sz w:val="12"/>
                <w:szCs w:val="12"/>
                <w:lang w:eastAsia="zh-CN" w:bidi="hi-IN"/>
              </w:rPr>
            </w:pPr>
            <w:r>
              <w:rPr>
                <w:bCs/>
                <w:i/>
                <w:color w:val="00000A"/>
                <w:sz w:val="12"/>
                <w:szCs w:val="12"/>
                <w:lang w:eastAsia="zh-CN" w:bidi="hi-IN"/>
              </w:rPr>
              <w:t xml:space="preserve">без учета / </w:t>
            </w:r>
          </w:p>
          <w:p w:rsidR="00D56D1F" w:rsidRDefault="00D56D1F" w:rsidP="00185A5E">
            <w:pPr>
              <w:widowControl w:val="0"/>
              <w:spacing w:line="264" w:lineRule="auto"/>
              <w:jc w:val="center"/>
              <w:rPr>
                <w:rFonts w:cs="Lohit Devanagari"/>
                <w:color w:val="00000A"/>
                <w:sz w:val="18"/>
                <w:szCs w:val="18"/>
                <w:lang w:eastAsia="zh-CN" w:bidi="hi-IN"/>
              </w:rPr>
            </w:pPr>
            <w:r>
              <w:rPr>
                <w:bCs/>
                <w:i/>
                <w:color w:val="00000A"/>
                <w:sz w:val="12"/>
                <w:szCs w:val="12"/>
                <w:lang w:eastAsia="zh-CN" w:bidi="hi-IN"/>
              </w:rPr>
              <w:t>с учетом значимости</w:t>
            </w:r>
          </w:p>
        </w:tc>
      </w:tr>
      <w:tr w:rsidR="00D56D1F" w:rsidTr="00185A5E">
        <w:trPr>
          <w:trHeight w:val="357"/>
        </w:trPr>
        <w:tc>
          <w:tcPr>
            <w:tcW w:w="352" w:type="pct"/>
            <w:vMerge w:val="restart"/>
            <w:tcBorders>
              <w:top w:val="single" w:sz="4" w:space="0" w:color="000000"/>
              <w:left w:val="single" w:sz="4" w:space="0" w:color="000000"/>
              <w:bottom w:val="single" w:sz="4" w:space="0" w:color="000000"/>
              <w:right w:val="single" w:sz="4" w:space="0" w:color="000000"/>
            </w:tcBorders>
          </w:tcPr>
          <w:p w:rsidR="00D56D1F" w:rsidRDefault="00D56D1F" w:rsidP="00185A5E">
            <w:pPr>
              <w:widowControl w:val="0"/>
              <w:spacing w:line="264" w:lineRule="auto"/>
              <w:jc w:val="center"/>
              <w:rPr>
                <w:b/>
                <w:color w:val="000000"/>
                <w:sz w:val="18"/>
                <w:szCs w:val="18"/>
                <w:lang w:eastAsia="zh-CN" w:bidi="hi-IN"/>
              </w:rPr>
            </w:pPr>
            <w:r>
              <w:rPr>
                <w:b/>
                <w:color w:val="000000"/>
                <w:sz w:val="18"/>
                <w:szCs w:val="18"/>
                <w:lang w:val="en-US" w:eastAsia="zh-CN" w:bidi="hi-IN"/>
              </w:rPr>
              <w:t>115301309</w:t>
            </w:r>
            <w:r>
              <w:rPr>
                <w:b/>
                <w:color w:val="000000"/>
                <w:sz w:val="18"/>
                <w:szCs w:val="18"/>
                <w:lang w:eastAsia="zh-CN" w:bidi="hi-IN"/>
              </w:rPr>
              <w:br/>
            </w:r>
          </w:p>
          <w:p w:rsidR="00D56D1F" w:rsidRDefault="00D56D1F" w:rsidP="00185A5E">
            <w:pPr>
              <w:widowControl w:val="0"/>
              <w:spacing w:line="264" w:lineRule="auto"/>
              <w:rPr>
                <w:rFonts w:cs="Lohit Devanagari"/>
                <w:color w:val="00000A"/>
                <w:sz w:val="18"/>
                <w:szCs w:val="18"/>
                <w:lang w:eastAsia="zh-CN" w:bidi="hi-IN"/>
              </w:rPr>
            </w:pPr>
          </w:p>
        </w:tc>
        <w:tc>
          <w:tcPr>
            <w:tcW w:w="465" w:type="pct"/>
            <w:vMerge w:val="restart"/>
            <w:tcBorders>
              <w:top w:val="single" w:sz="4" w:space="0" w:color="000000"/>
              <w:left w:val="single" w:sz="4" w:space="0" w:color="000000"/>
              <w:bottom w:val="single" w:sz="4" w:space="0" w:color="000000"/>
              <w:right w:val="single" w:sz="4" w:space="0" w:color="auto"/>
            </w:tcBorders>
          </w:tcPr>
          <w:p w:rsidR="00D56D1F" w:rsidRDefault="00D56D1F" w:rsidP="00185A5E">
            <w:pPr>
              <w:widowControl w:val="0"/>
              <w:spacing w:line="264" w:lineRule="auto"/>
              <w:rPr>
                <w:rFonts w:cs="Lohit Devanagari"/>
                <w:color w:val="00000A"/>
                <w:sz w:val="18"/>
                <w:szCs w:val="18"/>
                <w:lang w:eastAsia="zh-CN" w:bidi="hi-IN"/>
              </w:rPr>
            </w:pPr>
            <w:r>
              <w:rPr>
                <w:color w:val="000000"/>
                <w:sz w:val="18"/>
                <w:szCs w:val="18"/>
                <w:lang w:val="en-US" w:eastAsia="zh-CN" w:bidi="hi-IN"/>
              </w:rPr>
              <w:t>Соответствует</w:t>
            </w:r>
          </w:p>
          <w:p w:rsidR="00D56D1F" w:rsidRDefault="00D56D1F" w:rsidP="00185A5E">
            <w:pPr>
              <w:widowControl w:val="0"/>
              <w:spacing w:line="264" w:lineRule="auto"/>
              <w:rPr>
                <w:rFonts w:cs="Lohit Devanagari"/>
                <w:color w:val="00000A"/>
                <w:sz w:val="18"/>
                <w:szCs w:val="18"/>
                <w:lang w:eastAsia="zh-CN" w:bidi="hi-IN"/>
              </w:rPr>
            </w:pPr>
          </w:p>
        </w:tc>
        <w:tc>
          <w:tcPr>
            <w:tcW w:w="652" w:type="pct"/>
            <w:vMerge w:val="restart"/>
            <w:tcBorders>
              <w:top w:val="single" w:sz="4" w:space="0" w:color="auto"/>
              <w:left w:val="single" w:sz="4" w:space="0" w:color="auto"/>
              <w:bottom w:val="single" w:sz="4" w:space="0" w:color="auto"/>
              <w:right w:val="single" w:sz="4" w:space="0" w:color="auto"/>
            </w:tcBorders>
            <w:hideMark/>
          </w:tcPr>
          <w:p w:rsidR="00D56D1F" w:rsidRDefault="00D56D1F" w:rsidP="00185A5E">
            <w:pPr>
              <w:widowControl w:val="0"/>
              <w:spacing w:line="264" w:lineRule="auto"/>
              <w:rPr>
                <w:rFonts w:cs="Lohit Devanagari"/>
                <w:b/>
                <w:color w:val="00000A"/>
                <w:sz w:val="18"/>
                <w:szCs w:val="18"/>
                <w:lang w:bidi="hi-IN"/>
              </w:rPr>
            </w:pPr>
            <w:r>
              <w:rPr>
                <w:color w:val="00000A"/>
                <w:sz w:val="18"/>
                <w:szCs w:val="18"/>
                <w:lang w:eastAsia="zh-CN" w:bidi="hi-IN"/>
              </w:rPr>
              <w:t xml:space="preserve">Наличие у участников закупки </w:t>
            </w:r>
            <w:r>
              <w:rPr>
                <w:b/>
                <w:color w:val="00000A"/>
                <w:sz w:val="18"/>
                <w:szCs w:val="18"/>
                <w:lang w:eastAsia="zh-CN" w:bidi="hi-IN"/>
              </w:rPr>
              <w:t>опыта</w:t>
            </w:r>
            <w:r>
              <w:rPr>
                <w:color w:val="00000A"/>
                <w:sz w:val="18"/>
                <w:szCs w:val="18"/>
                <w:lang w:eastAsia="zh-CN" w:bidi="hi-IN"/>
              </w:rPr>
              <w:t xml:space="preserve"> работы, связанного с предметом контракта</w:t>
            </w:r>
          </w:p>
        </w:tc>
        <w:tc>
          <w:tcPr>
            <w:tcW w:w="1901" w:type="pct"/>
            <w:tcBorders>
              <w:top w:val="single" w:sz="4" w:space="0" w:color="auto"/>
              <w:left w:val="single" w:sz="4" w:space="0" w:color="auto"/>
              <w:bottom w:val="nil"/>
              <w:right w:val="single" w:sz="4" w:space="0" w:color="auto"/>
            </w:tcBorders>
            <w:hideMark/>
          </w:tcPr>
          <w:p w:rsidR="00D56D1F" w:rsidRDefault="00D56D1F" w:rsidP="00185A5E">
            <w:pPr>
              <w:widowControl w:val="0"/>
              <w:tabs>
                <w:tab w:val="left" w:pos="3002"/>
              </w:tabs>
              <w:autoSpaceDE w:val="0"/>
              <w:autoSpaceDN w:val="0"/>
              <w:adjustRightInd w:val="0"/>
              <w:rPr>
                <w:sz w:val="18"/>
                <w:szCs w:val="18"/>
              </w:rPr>
            </w:pPr>
            <w:r>
              <w:rPr>
                <w:b/>
                <w:sz w:val="18"/>
                <w:szCs w:val="18"/>
              </w:rPr>
              <w:t>характеристика квалификации участников закупки № 1</w:t>
            </w:r>
            <w:r>
              <w:rPr>
                <w:i/>
                <w:sz w:val="18"/>
                <w:szCs w:val="18"/>
              </w:rPr>
              <w:t xml:space="preserve"> (общее количество исполненных участником закупки договоров). </w:t>
            </w:r>
          </w:p>
        </w:tc>
        <w:tc>
          <w:tcPr>
            <w:tcW w:w="439" w:type="pct"/>
            <w:tcBorders>
              <w:top w:val="single" w:sz="4" w:space="0" w:color="000000"/>
              <w:left w:val="single" w:sz="4" w:space="0" w:color="auto"/>
              <w:bottom w:val="nil"/>
              <w:right w:val="single" w:sz="4" w:space="0" w:color="000000"/>
            </w:tcBorders>
            <w:vAlign w:val="center"/>
            <w:hideMark/>
          </w:tcPr>
          <w:p w:rsidR="00D56D1F" w:rsidRDefault="00D56D1F" w:rsidP="00185A5E">
            <w:pPr>
              <w:widowControl w:val="0"/>
              <w:spacing w:line="264" w:lineRule="auto"/>
              <w:jc w:val="center"/>
              <w:rPr>
                <w:rFonts w:cs="Lohit Devanagari"/>
                <w:color w:val="00000A"/>
                <w:sz w:val="20"/>
                <w:szCs w:val="20"/>
                <w:lang w:eastAsia="zh-CN" w:bidi="hi-IN"/>
              </w:rPr>
            </w:pPr>
            <w:r>
              <w:rPr>
                <w:rFonts w:cs="Lohit Devanagari"/>
                <w:color w:val="00000A"/>
                <w:sz w:val="20"/>
                <w:szCs w:val="20"/>
                <w:lang w:eastAsia="zh-CN" w:bidi="hi-IN"/>
              </w:rPr>
              <w:t>12</w:t>
            </w:r>
          </w:p>
        </w:tc>
        <w:tc>
          <w:tcPr>
            <w:tcW w:w="446" w:type="pct"/>
            <w:tcBorders>
              <w:top w:val="single" w:sz="4" w:space="0" w:color="000000"/>
              <w:left w:val="single" w:sz="4" w:space="0" w:color="000000"/>
              <w:bottom w:val="nil"/>
              <w:right w:val="single" w:sz="4" w:space="0" w:color="000000"/>
            </w:tcBorders>
            <w:vAlign w:val="center"/>
            <w:hideMark/>
          </w:tcPr>
          <w:p w:rsidR="00D56D1F" w:rsidRDefault="00D56D1F" w:rsidP="00185A5E">
            <w:pPr>
              <w:widowControl w:val="0"/>
              <w:spacing w:line="264" w:lineRule="auto"/>
              <w:jc w:val="center"/>
              <w:rPr>
                <w:color w:val="000000"/>
                <w:sz w:val="20"/>
                <w:szCs w:val="20"/>
                <w:lang w:eastAsia="zh-CN" w:bidi="hi-IN"/>
              </w:rPr>
            </w:pPr>
            <w:r>
              <w:rPr>
                <w:color w:val="000000"/>
                <w:sz w:val="20"/>
                <w:szCs w:val="20"/>
                <w:lang w:eastAsia="zh-CN" w:bidi="hi-IN"/>
              </w:rPr>
              <w:t>12</w:t>
            </w:r>
          </w:p>
        </w:tc>
        <w:tc>
          <w:tcPr>
            <w:tcW w:w="379" w:type="pct"/>
            <w:tcBorders>
              <w:top w:val="single" w:sz="4" w:space="0" w:color="000000"/>
              <w:left w:val="single" w:sz="4" w:space="0" w:color="000000"/>
              <w:bottom w:val="nil"/>
              <w:right w:val="single" w:sz="4" w:space="0" w:color="000000"/>
            </w:tcBorders>
            <w:vAlign w:val="center"/>
            <w:hideMark/>
          </w:tcPr>
          <w:p w:rsidR="00D56D1F" w:rsidRDefault="00D56D1F" w:rsidP="00185A5E">
            <w:pPr>
              <w:widowControl w:val="0"/>
              <w:spacing w:line="264" w:lineRule="auto"/>
              <w:jc w:val="center"/>
              <w:rPr>
                <w:color w:val="000000"/>
                <w:sz w:val="20"/>
                <w:szCs w:val="20"/>
                <w:lang w:eastAsia="zh-CN" w:bidi="hi-IN"/>
              </w:rPr>
            </w:pPr>
            <w:r>
              <w:rPr>
                <w:color w:val="000000"/>
                <w:sz w:val="20"/>
                <w:szCs w:val="20"/>
                <w:lang w:eastAsia="zh-CN" w:bidi="hi-IN"/>
              </w:rPr>
              <w:t>0,00/</w:t>
            </w:r>
          </w:p>
          <w:p w:rsidR="00D56D1F" w:rsidRDefault="00D56D1F" w:rsidP="00185A5E">
            <w:pPr>
              <w:widowControl w:val="0"/>
              <w:spacing w:line="264" w:lineRule="auto"/>
              <w:jc w:val="center"/>
              <w:rPr>
                <w:color w:val="000000"/>
                <w:sz w:val="20"/>
                <w:szCs w:val="20"/>
                <w:lang w:eastAsia="zh-CN" w:bidi="hi-IN"/>
              </w:rPr>
            </w:pPr>
            <w:r>
              <w:rPr>
                <w:color w:val="000000"/>
                <w:sz w:val="20"/>
                <w:szCs w:val="20"/>
                <w:lang w:eastAsia="zh-CN" w:bidi="hi-IN"/>
              </w:rPr>
              <w:t>0,00</w:t>
            </w:r>
          </w:p>
        </w:tc>
        <w:tc>
          <w:tcPr>
            <w:tcW w:w="366" w:type="pct"/>
            <w:vMerge w:val="restar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rFonts w:cs="Lohit Devanagari"/>
                <w:color w:val="00000A"/>
                <w:sz w:val="20"/>
                <w:szCs w:val="20"/>
                <w:lang w:eastAsia="zh-CN" w:bidi="hi-IN"/>
              </w:rPr>
            </w:pPr>
            <w:r>
              <w:rPr>
                <w:rFonts w:cs="Lohit Devanagari"/>
                <w:color w:val="00000A"/>
                <w:sz w:val="20"/>
                <w:szCs w:val="20"/>
                <w:lang w:eastAsia="zh-CN" w:bidi="hi-IN"/>
              </w:rPr>
              <w:t>0,00/</w:t>
            </w:r>
          </w:p>
          <w:p w:rsidR="00D56D1F" w:rsidRDefault="00D56D1F" w:rsidP="00185A5E">
            <w:pPr>
              <w:widowControl w:val="0"/>
              <w:spacing w:line="264" w:lineRule="auto"/>
              <w:jc w:val="center"/>
              <w:rPr>
                <w:rFonts w:cs="Lohit Devanagari"/>
                <w:color w:val="00000A"/>
                <w:sz w:val="20"/>
                <w:szCs w:val="20"/>
                <w:lang w:eastAsia="zh-CN" w:bidi="hi-IN"/>
              </w:rPr>
            </w:pPr>
            <w:r>
              <w:rPr>
                <w:rFonts w:cs="Lohit Devanagari"/>
                <w:b/>
                <w:color w:val="00000A"/>
                <w:sz w:val="20"/>
                <w:szCs w:val="20"/>
                <w:lang w:eastAsia="zh-CN" w:bidi="hi-IN"/>
              </w:rPr>
              <w:t>0,00</w:t>
            </w:r>
          </w:p>
        </w:tc>
      </w:tr>
      <w:tr w:rsidR="00D56D1F" w:rsidTr="00185A5E">
        <w:trPr>
          <w:trHeight w:val="14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spacing w:line="256" w:lineRule="auto"/>
              <w:rPr>
                <w:rFonts w:cs="Lohit Devanagari"/>
                <w:color w:val="00000A"/>
                <w:sz w:val="18"/>
                <w:szCs w:val="18"/>
                <w:lang w:eastAsia="zh-CN" w:bidi="hi-IN"/>
              </w:rPr>
            </w:pPr>
          </w:p>
        </w:tc>
        <w:tc>
          <w:tcPr>
            <w:tcW w:w="0" w:type="auto"/>
            <w:vMerge/>
            <w:tcBorders>
              <w:top w:val="single" w:sz="4" w:space="0" w:color="000000"/>
              <w:left w:val="single" w:sz="4" w:space="0" w:color="000000"/>
              <w:bottom w:val="single" w:sz="4" w:space="0" w:color="000000"/>
              <w:right w:val="single" w:sz="4" w:space="0" w:color="auto"/>
            </w:tcBorders>
            <w:vAlign w:val="center"/>
            <w:hideMark/>
          </w:tcPr>
          <w:p w:rsidR="00D56D1F" w:rsidRDefault="00D56D1F" w:rsidP="00185A5E">
            <w:pPr>
              <w:spacing w:line="256" w:lineRule="auto"/>
              <w:rPr>
                <w:rFonts w:cs="Lohit Devanagari"/>
                <w:color w:val="00000A"/>
                <w:sz w:val="18"/>
                <w:szCs w:val="18"/>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6D1F" w:rsidRDefault="00D56D1F" w:rsidP="00185A5E">
            <w:pPr>
              <w:spacing w:line="256" w:lineRule="auto"/>
              <w:rPr>
                <w:rFonts w:cs="Lohit Devanagari"/>
                <w:b/>
                <w:color w:val="00000A"/>
                <w:sz w:val="18"/>
                <w:szCs w:val="18"/>
                <w:lang w:bidi="hi-IN"/>
              </w:rPr>
            </w:pPr>
          </w:p>
        </w:tc>
        <w:tc>
          <w:tcPr>
            <w:tcW w:w="1901" w:type="pct"/>
            <w:tcBorders>
              <w:top w:val="single" w:sz="4" w:space="0" w:color="auto"/>
              <w:left w:val="single" w:sz="4" w:space="0" w:color="auto"/>
              <w:bottom w:val="single" w:sz="4" w:space="0" w:color="auto"/>
              <w:right w:val="single" w:sz="4" w:space="0" w:color="auto"/>
            </w:tcBorders>
            <w:hideMark/>
          </w:tcPr>
          <w:p w:rsidR="00D56D1F" w:rsidRDefault="00D56D1F" w:rsidP="00185A5E">
            <w:pPr>
              <w:tabs>
                <w:tab w:val="left" w:pos="3002"/>
              </w:tabs>
              <w:rPr>
                <w:sz w:val="18"/>
                <w:szCs w:val="18"/>
              </w:rPr>
            </w:pPr>
            <w:r>
              <w:rPr>
                <w:b/>
                <w:sz w:val="18"/>
                <w:szCs w:val="18"/>
              </w:rPr>
              <w:t xml:space="preserve">характеристика квалификации участников </w:t>
            </w:r>
            <w:r>
              <w:rPr>
                <w:b/>
                <w:sz w:val="18"/>
                <w:szCs w:val="18"/>
              </w:rPr>
              <w:lastRenderedPageBreak/>
              <w:t>закупки № 2</w:t>
            </w:r>
            <w:r>
              <w:rPr>
                <w:i/>
                <w:sz w:val="18"/>
                <w:szCs w:val="18"/>
              </w:rPr>
              <w:t xml:space="preserve"> (наибольшая цена одного из исполненных участником закупки договоров). </w:t>
            </w:r>
          </w:p>
        </w:tc>
        <w:tc>
          <w:tcPr>
            <w:tcW w:w="439" w:type="pct"/>
            <w:tcBorders>
              <w:top w:val="single" w:sz="4" w:space="0" w:color="000000"/>
              <w:left w:val="single" w:sz="4" w:space="0" w:color="auto"/>
              <w:bottom w:val="single" w:sz="4" w:space="0" w:color="000000"/>
              <w:right w:val="single" w:sz="4" w:space="0" w:color="000000"/>
            </w:tcBorders>
            <w:vAlign w:val="center"/>
            <w:hideMark/>
          </w:tcPr>
          <w:p w:rsidR="00D56D1F" w:rsidRDefault="00D56D1F" w:rsidP="00185A5E">
            <w:pPr>
              <w:widowControl w:val="0"/>
              <w:spacing w:line="264" w:lineRule="auto"/>
              <w:jc w:val="center"/>
              <w:rPr>
                <w:rFonts w:cs="Lohit Devanagari"/>
                <w:color w:val="00000A"/>
                <w:sz w:val="20"/>
                <w:szCs w:val="20"/>
                <w:lang w:eastAsia="zh-CN" w:bidi="hi-IN"/>
              </w:rPr>
            </w:pPr>
            <w:r>
              <w:rPr>
                <w:rFonts w:cs="Lohit Devanagari"/>
                <w:color w:val="00000A"/>
                <w:sz w:val="20"/>
                <w:szCs w:val="20"/>
                <w:lang w:eastAsia="zh-CN" w:bidi="hi-IN"/>
              </w:rPr>
              <w:lastRenderedPageBreak/>
              <w:t>7948522,02</w:t>
            </w:r>
          </w:p>
        </w:tc>
        <w:tc>
          <w:tcPr>
            <w:tcW w:w="446"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color w:val="000000"/>
                <w:sz w:val="20"/>
                <w:szCs w:val="20"/>
                <w:lang w:eastAsia="zh-CN" w:bidi="hi-IN"/>
              </w:rPr>
            </w:pPr>
            <w:r>
              <w:rPr>
                <w:color w:val="000000"/>
                <w:sz w:val="20"/>
                <w:szCs w:val="20"/>
                <w:lang w:eastAsia="zh-CN" w:bidi="hi-IN"/>
              </w:rPr>
              <w:t>7948522,02</w:t>
            </w:r>
          </w:p>
        </w:tc>
        <w:tc>
          <w:tcPr>
            <w:tcW w:w="379" w:type="pct"/>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widowControl w:val="0"/>
              <w:spacing w:line="264" w:lineRule="auto"/>
              <w:jc w:val="center"/>
              <w:rPr>
                <w:color w:val="000000"/>
                <w:sz w:val="20"/>
                <w:szCs w:val="20"/>
                <w:lang w:eastAsia="zh-CN" w:bidi="hi-IN"/>
              </w:rPr>
            </w:pPr>
            <w:r>
              <w:rPr>
                <w:color w:val="000000"/>
                <w:sz w:val="20"/>
                <w:szCs w:val="20"/>
                <w:lang w:eastAsia="zh-CN" w:bidi="hi-IN"/>
              </w:rPr>
              <w:t>0,00/</w:t>
            </w:r>
          </w:p>
          <w:p w:rsidR="00D56D1F" w:rsidRDefault="00D56D1F" w:rsidP="00185A5E">
            <w:pPr>
              <w:widowControl w:val="0"/>
              <w:spacing w:line="264" w:lineRule="auto"/>
              <w:jc w:val="center"/>
              <w:rPr>
                <w:color w:val="000000"/>
                <w:sz w:val="20"/>
                <w:szCs w:val="20"/>
                <w:lang w:eastAsia="zh-CN" w:bidi="hi-IN"/>
              </w:rPr>
            </w:pPr>
            <w:r>
              <w:rPr>
                <w:color w:val="000000"/>
                <w:sz w:val="20"/>
                <w:szCs w:val="20"/>
                <w:lang w:eastAsia="zh-CN" w:bidi="hi-IN"/>
              </w:rPr>
              <w:t>0,00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56D1F" w:rsidRDefault="00D56D1F" w:rsidP="00185A5E">
            <w:pPr>
              <w:spacing w:line="256" w:lineRule="auto"/>
              <w:rPr>
                <w:rFonts w:cs="Lohit Devanagari"/>
                <w:color w:val="00000A"/>
                <w:sz w:val="20"/>
                <w:szCs w:val="20"/>
                <w:lang w:eastAsia="zh-CN" w:bidi="hi-IN"/>
              </w:rPr>
            </w:pPr>
          </w:p>
        </w:tc>
      </w:tr>
    </w:tbl>
    <w:p w:rsidR="00291AA9" w:rsidRPr="00EB2D01" w:rsidRDefault="00291AA9" w:rsidP="00291AA9">
      <w:pPr>
        <w:widowControl w:val="0"/>
        <w:suppressAutoHyphens w:val="0"/>
        <w:autoSpaceDE w:val="0"/>
        <w:autoSpaceDN w:val="0"/>
        <w:adjustRightInd w:val="0"/>
        <w:ind w:firstLine="567"/>
        <w:jc w:val="both"/>
        <w:rPr>
          <w:sz w:val="22"/>
          <w:szCs w:val="22"/>
          <w:lang w:val="en-US"/>
        </w:rPr>
      </w:pPr>
      <w:r w:rsidRPr="00EB2D01">
        <w:rPr>
          <w:sz w:val="22"/>
          <w:szCs w:val="22"/>
        </w:rPr>
        <w:t xml:space="preserve">   </w:t>
      </w:r>
    </w:p>
    <w:p w:rsidR="00291AA9" w:rsidRPr="00AD1B29" w:rsidRDefault="00291AA9" w:rsidP="00291AA9">
      <w:pPr>
        <w:ind w:firstLine="539"/>
        <w:jc w:val="both"/>
        <w:rPr>
          <w:bCs/>
          <w:iCs/>
          <w:sz w:val="26"/>
          <w:szCs w:val="26"/>
        </w:rPr>
      </w:pPr>
      <w:r>
        <w:rPr>
          <w:bCs/>
          <w:iCs/>
          <w:sz w:val="26"/>
          <w:szCs w:val="26"/>
        </w:rPr>
        <w:t>И</w:t>
      </w:r>
      <w:r w:rsidRPr="00AD1B29">
        <w:rPr>
          <w:bCs/>
          <w:iCs/>
          <w:sz w:val="26"/>
          <w:szCs w:val="26"/>
        </w:rPr>
        <w:t>з текста</w:t>
      </w:r>
      <w:r>
        <w:rPr>
          <w:bCs/>
          <w:iCs/>
          <w:sz w:val="26"/>
          <w:szCs w:val="26"/>
        </w:rPr>
        <w:t xml:space="preserve"> </w:t>
      </w:r>
      <w:r w:rsidR="00D56D1F">
        <w:rPr>
          <w:bCs/>
          <w:iCs/>
          <w:sz w:val="26"/>
          <w:szCs w:val="26"/>
        </w:rPr>
        <w:t>п</w:t>
      </w:r>
      <w:r w:rsidR="00D56D1F" w:rsidRPr="00D56D1F">
        <w:rPr>
          <w:bCs/>
          <w:iCs/>
          <w:sz w:val="26"/>
          <w:szCs w:val="26"/>
        </w:rPr>
        <w:t>ротокол</w:t>
      </w:r>
      <w:r w:rsidR="00D56D1F">
        <w:rPr>
          <w:bCs/>
          <w:iCs/>
          <w:sz w:val="26"/>
          <w:szCs w:val="26"/>
        </w:rPr>
        <w:t>а</w:t>
      </w:r>
      <w:r w:rsidR="00D56D1F" w:rsidRPr="00D56D1F">
        <w:rPr>
          <w:bCs/>
          <w:iCs/>
          <w:sz w:val="26"/>
          <w:szCs w:val="26"/>
        </w:rPr>
        <w:t xml:space="preserve"> рассмотрения и оценки вторых частей заявок на участие в открытом конкурсе в электронной форме от 04.12.2023 №ПРОII2</w:t>
      </w:r>
      <w:r w:rsidRPr="00AD1B29">
        <w:rPr>
          <w:bCs/>
          <w:iCs/>
          <w:sz w:val="26"/>
          <w:szCs w:val="26"/>
        </w:rPr>
        <w:t xml:space="preserve"> усматривается отсутствие обоснования присвоения заявкам участников того или иного количества баллов в предельных установленных количествах в соответствии с критериями и порядком оценки, определенными в извещении об осуществлении конкурса. Так, из протокола не следует, по каким причинам и с учетом каких конкретных характеристик заявок и по какой именно формуле присвоено то или иное количество баллов.</w:t>
      </w:r>
    </w:p>
    <w:p w:rsidR="00291AA9" w:rsidRPr="00AD1B29" w:rsidRDefault="00291AA9" w:rsidP="00291AA9">
      <w:pPr>
        <w:ind w:firstLine="539"/>
        <w:jc w:val="both"/>
        <w:rPr>
          <w:bCs/>
          <w:iCs/>
          <w:sz w:val="26"/>
          <w:szCs w:val="26"/>
        </w:rPr>
      </w:pPr>
      <w:r w:rsidRPr="00AD1B29">
        <w:rPr>
          <w:bCs/>
          <w:iCs/>
          <w:sz w:val="26"/>
          <w:szCs w:val="26"/>
        </w:rPr>
        <w:t>Вместе с тем, действия конкурсной комиссии при оценке заявок должны быть в первую очередь понятны участникам закупки. В настоящем случае алгоритм оценки и присвоения конкретного количества баллов не следует из протокола.</w:t>
      </w:r>
    </w:p>
    <w:p w:rsidR="00291AA9" w:rsidRDefault="00291AA9" w:rsidP="00291AA9">
      <w:pPr>
        <w:ind w:firstLine="539"/>
        <w:jc w:val="both"/>
        <w:rPr>
          <w:bCs/>
          <w:iCs/>
          <w:sz w:val="26"/>
          <w:szCs w:val="26"/>
        </w:rPr>
      </w:pPr>
      <w:r w:rsidRPr="00AD1B29">
        <w:rPr>
          <w:bCs/>
          <w:iCs/>
          <w:sz w:val="26"/>
          <w:szCs w:val="26"/>
        </w:rPr>
        <w:t>Отсутствие в протоколе оценки заявок названного порядка не позволяет определить правомерность оценки конкурсных заявок участников закупки и препятствует участникам конкурса заявить конкретные возражения по применению (неприменению) того или иного критерия оценки, что нарушает п. 4 ч. 13 ст. 4</w:t>
      </w:r>
      <w:r>
        <w:rPr>
          <w:bCs/>
          <w:iCs/>
          <w:sz w:val="26"/>
          <w:szCs w:val="26"/>
        </w:rPr>
        <w:t>8 Закона о контрактной системе.</w:t>
      </w:r>
    </w:p>
    <w:p w:rsidR="00291AA9" w:rsidRPr="00AD1B29" w:rsidRDefault="00291AA9" w:rsidP="00291AA9">
      <w:pPr>
        <w:ind w:firstLine="539"/>
        <w:jc w:val="both"/>
        <w:rPr>
          <w:bCs/>
          <w:iCs/>
          <w:sz w:val="26"/>
          <w:szCs w:val="26"/>
        </w:rPr>
      </w:pPr>
      <w:r w:rsidRPr="00AD1B29">
        <w:rPr>
          <w:bCs/>
          <w:iCs/>
          <w:sz w:val="26"/>
          <w:szCs w:val="26"/>
        </w:rPr>
        <w:t>Таким образом, жалоба признана обоснованной, а в действиях Заказчика усматрива</w:t>
      </w:r>
      <w:r>
        <w:rPr>
          <w:bCs/>
          <w:iCs/>
          <w:sz w:val="26"/>
          <w:szCs w:val="26"/>
        </w:rPr>
        <w:t>ю</w:t>
      </w:r>
      <w:r w:rsidRPr="00AD1B29">
        <w:rPr>
          <w:bCs/>
          <w:iCs/>
          <w:sz w:val="26"/>
          <w:szCs w:val="26"/>
        </w:rPr>
        <w:t>тся нарушени</w:t>
      </w:r>
      <w:r>
        <w:rPr>
          <w:bCs/>
          <w:iCs/>
          <w:sz w:val="26"/>
          <w:szCs w:val="26"/>
        </w:rPr>
        <w:t>я п. 4 ч. 13 ст. 48</w:t>
      </w:r>
      <w:r w:rsidRPr="00AD1B29">
        <w:rPr>
          <w:bCs/>
          <w:iCs/>
          <w:sz w:val="26"/>
          <w:szCs w:val="26"/>
        </w:rPr>
        <w:t xml:space="preserve"> Закона о контрактной системе.</w:t>
      </w:r>
    </w:p>
    <w:p w:rsidR="00F46BB5" w:rsidRPr="00F46BB5" w:rsidRDefault="00F46BB5" w:rsidP="00F46BB5">
      <w:pPr>
        <w:ind w:firstLine="539"/>
        <w:jc w:val="both"/>
        <w:rPr>
          <w:bCs/>
          <w:iCs/>
          <w:sz w:val="26"/>
          <w:szCs w:val="26"/>
        </w:rPr>
      </w:pPr>
      <w:r w:rsidRPr="00F46BB5">
        <w:rPr>
          <w:b/>
          <w:bCs/>
          <w:iCs/>
          <w:sz w:val="26"/>
          <w:szCs w:val="26"/>
        </w:rPr>
        <w:t>2.</w:t>
      </w:r>
      <w:r>
        <w:rPr>
          <w:bCs/>
          <w:iCs/>
          <w:sz w:val="26"/>
          <w:szCs w:val="26"/>
        </w:rPr>
        <w:t xml:space="preserve">  </w:t>
      </w:r>
      <w:r w:rsidRPr="00F46BB5">
        <w:rPr>
          <w:bCs/>
          <w:iCs/>
          <w:sz w:val="26"/>
          <w:szCs w:val="26"/>
        </w:rPr>
        <w:t>При этом, основанием для подачи жалобы Заявителя послужило информация из открыт</w:t>
      </w:r>
      <w:r>
        <w:rPr>
          <w:bCs/>
          <w:iCs/>
          <w:sz w:val="26"/>
          <w:szCs w:val="26"/>
        </w:rPr>
        <w:t>ых</w:t>
      </w:r>
      <w:r w:rsidRPr="00F46BB5">
        <w:rPr>
          <w:bCs/>
          <w:iCs/>
          <w:sz w:val="26"/>
          <w:szCs w:val="26"/>
        </w:rPr>
        <w:t xml:space="preserve"> </w:t>
      </w:r>
      <w:r>
        <w:rPr>
          <w:bCs/>
          <w:iCs/>
          <w:sz w:val="26"/>
          <w:szCs w:val="26"/>
        </w:rPr>
        <w:t>источников</w:t>
      </w:r>
      <w:r w:rsidRPr="00F46BB5">
        <w:rPr>
          <w:bCs/>
          <w:iCs/>
          <w:sz w:val="26"/>
          <w:szCs w:val="26"/>
        </w:rPr>
        <w:t>, согласно котор</w:t>
      </w:r>
      <w:r>
        <w:rPr>
          <w:bCs/>
          <w:iCs/>
          <w:sz w:val="26"/>
          <w:szCs w:val="26"/>
        </w:rPr>
        <w:t>ым</w:t>
      </w:r>
      <w:r w:rsidRPr="00F46BB5">
        <w:rPr>
          <w:bCs/>
          <w:iCs/>
          <w:sz w:val="26"/>
          <w:szCs w:val="26"/>
        </w:rPr>
        <w:t xml:space="preserve"> </w:t>
      </w:r>
      <w:r>
        <w:rPr>
          <w:bCs/>
          <w:iCs/>
          <w:sz w:val="26"/>
          <w:szCs w:val="26"/>
        </w:rPr>
        <w:t>информация об опыте ООО «ВИНИЛ»</w:t>
      </w:r>
      <w:r w:rsidRPr="00F46BB5">
        <w:rPr>
          <w:bCs/>
          <w:iCs/>
          <w:sz w:val="26"/>
          <w:szCs w:val="26"/>
        </w:rPr>
        <w:t xml:space="preserve"> не соответствует представленным им в составе заявки договорам.</w:t>
      </w:r>
    </w:p>
    <w:p w:rsidR="00F46BB5" w:rsidRPr="00F46BB5" w:rsidRDefault="00F46BB5" w:rsidP="00F46BB5">
      <w:pPr>
        <w:ind w:firstLine="539"/>
        <w:jc w:val="both"/>
        <w:rPr>
          <w:bCs/>
          <w:iCs/>
          <w:sz w:val="26"/>
          <w:szCs w:val="26"/>
        </w:rPr>
      </w:pPr>
      <w:r w:rsidRPr="00F46BB5">
        <w:rPr>
          <w:bCs/>
          <w:iCs/>
          <w:sz w:val="26"/>
          <w:szCs w:val="26"/>
        </w:rPr>
        <w:t xml:space="preserve">В соответствии с пп. «р»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в случае проведения электронного конкурса и установления критерия, предусмотренного п. 4 ч. 1 ст. 32 настоящего Федерального закона, заявка на участие в закупке может содержать документы, подтверждающие квалификацию участника закупки. </w:t>
      </w:r>
    </w:p>
    <w:p w:rsidR="00F46BB5" w:rsidRPr="00F46BB5" w:rsidRDefault="00F46BB5" w:rsidP="00F46BB5">
      <w:pPr>
        <w:ind w:firstLine="539"/>
        <w:jc w:val="both"/>
        <w:rPr>
          <w:bCs/>
          <w:iCs/>
          <w:sz w:val="26"/>
          <w:szCs w:val="26"/>
        </w:rPr>
      </w:pPr>
      <w:r w:rsidRPr="00F46BB5">
        <w:rPr>
          <w:bCs/>
          <w:iCs/>
          <w:sz w:val="26"/>
          <w:szCs w:val="26"/>
        </w:rPr>
        <w:t>Из анализа Заявок на участие и пояснений представителя Заказчика следует, что оценка заявок участников осуществлялось конкурсной комиссией в соответствии с установленным порядком оценки заявок в рассматриваемой части.</w:t>
      </w:r>
    </w:p>
    <w:p w:rsidR="00F46BB5" w:rsidRPr="00F46BB5" w:rsidRDefault="00F46BB5" w:rsidP="00F46BB5">
      <w:pPr>
        <w:ind w:firstLine="539"/>
        <w:jc w:val="both"/>
        <w:rPr>
          <w:bCs/>
          <w:iCs/>
          <w:sz w:val="26"/>
          <w:szCs w:val="26"/>
        </w:rPr>
      </w:pPr>
      <w:r w:rsidRPr="00F46BB5">
        <w:rPr>
          <w:bCs/>
          <w:iCs/>
          <w:sz w:val="26"/>
          <w:szCs w:val="26"/>
        </w:rPr>
        <w:t>Вместе с тем, Комиссия УФАС отмечает, что отсутствие в бухгалтерской отчетности участника ООО «ВИНИЛ»</w:t>
      </w:r>
      <w:r>
        <w:rPr>
          <w:bCs/>
          <w:iCs/>
          <w:sz w:val="26"/>
          <w:szCs w:val="26"/>
        </w:rPr>
        <w:t xml:space="preserve"> </w:t>
      </w:r>
      <w:r w:rsidRPr="00F46BB5">
        <w:rPr>
          <w:bCs/>
          <w:iCs/>
          <w:sz w:val="26"/>
          <w:szCs w:val="26"/>
        </w:rPr>
        <w:t>информации об исполнении спорного контракта/договора не может свидетельствовать о предоставлении недостоверной информации об опыте выполнения работ, поскольку неотражение каких-либо операций в бухгалтерском учете и бухгалтерской отчетности, свидетельствует о нарушении ее составления, но не исключает факта совершения хозяйственных операций.</w:t>
      </w:r>
    </w:p>
    <w:p w:rsidR="00F46BB5" w:rsidRPr="00F46BB5" w:rsidRDefault="00F46BB5" w:rsidP="00F46BB5">
      <w:pPr>
        <w:ind w:firstLine="539"/>
        <w:jc w:val="both"/>
        <w:rPr>
          <w:bCs/>
          <w:iCs/>
          <w:sz w:val="26"/>
          <w:szCs w:val="26"/>
        </w:rPr>
      </w:pPr>
      <w:r w:rsidRPr="00F46BB5">
        <w:rPr>
          <w:bCs/>
          <w:iCs/>
          <w:sz w:val="26"/>
          <w:szCs w:val="26"/>
        </w:rPr>
        <w:t xml:space="preserve">Указанная позиция подтверждается постановлением Арбитражного суда Волго-Вятского округа от 14.08.2023 по делу № 28-4584/2022, законность которого установлена определением Верховного суда Российской Федерации от 26.10.2023 № 301-ЭС23-20109. </w:t>
      </w:r>
    </w:p>
    <w:p w:rsidR="00F46BB5" w:rsidRPr="00F46BB5" w:rsidRDefault="00F46BB5" w:rsidP="00F46BB5">
      <w:pPr>
        <w:ind w:firstLine="539"/>
        <w:jc w:val="both"/>
        <w:rPr>
          <w:bCs/>
          <w:iCs/>
          <w:sz w:val="26"/>
          <w:szCs w:val="26"/>
        </w:rPr>
      </w:pPr>
      <w:r w:rsidRPr="00F46BB5">
        <w:rPr>
          <w:bCs/>
          <w:iCs/>
          <w:sz w:val="26"/>
          <w:szCs w:val="26"/>
        </w:rPr>
        <w:lastRenderedPageBreak/>
        <w:t xml:space="preserve">Исходя из имеющийся в деле материалов с Комиссия УФАС не усматривает, что участник с идентификационным номером ООО «ВИНИЛ», представил какую-либо недостоверную информацию относительно опыта выполнения работ. </w:t>
      </w:r>
    </w:p>
    <w:p w:rsidR="00D56D1F" w:rsidRDefault="00F46BB5" w:rsidP="00F46BB5">
      <w:pPr>
        <w:ind w:firstLine="539"/>
        <w:jc w:val="both"/>
        <w:rPr>
          <w:bCs/>
          <w:iCs/>
          <w:sz w:val="26"/>
          <w:szCs w:val="26"/>
        </w:rPr>
      </w:pPr>
      <w:r w:rsidRPr="00F46BB5">
        <w:rPr>
          <w:bCs/>
          <w:iCs/>
          <w:sz w:val="26"/>
          <w:szCs w:val="26"/>
        </w:rPr>
        <w:t>При установленных обстоятельствах Комиссия УФАС приходит к выводу, что вышеуказанные действия конкурсной комиссии Заказчика не противоречат требованиям Закона о контрактной системе, следовательно, доводы жалобы являются необоснованными.</w:t>
      </w:r>
    </w:p>
    <w:p w:rsidR="00E34AE3" w:rsidRDefault="00E34AE3" w:rsidP="00E34AE3">
      <w:pPr>
        <w:ind w:firstLine="539"/>
        <w:jc w:val="both"/>
        <w:rPr>
          <w:b/>
          <w:bCs/>
          <w:i/>
          <w:iCs/>
          <w:sz w:val="26"/>
          <w:szCs w:val="26"/>
        </w:rPr>
      </w:pPr>
      <w:r w:rsidRPr="00E34AE3">
        <w:rPr>
          <w:b/>
          <w:bCs/>
          <w:i/>
          <w:iCs/>
          <w:sz w:val="26"/>
          <w:szCs w:val="26"/>
        </w:rPr>
        <w:t>В результате проведения внеплановой проверки на основании п. 1 ч. 15               ст. 99 Закона о контрактной системе были установлены следующие обстоятельства.</w:t>
      </w:r>
    </w:p>
    <w:p w:rsidR="00F46BB5" w:rsidRPr="00F46BB5" w:rsidRDefault="00F46BB5" w:rsidP="00F46BB5">
      <w:pPr>
        <w:ind w:firstLine="708"/>
        <w:jc w:val="both"/>
        <w:rPr>
          <w:sz w:val="26"/>
          <w:szCs w:val="26"/>
        </w:rPr>
      </w:pPr>
      <w:r w:rsidRPr="00F46BB5">
        <w:rPr>
          <w:sz w:val="26"/>
          <w:szCs w:val="26"/>
        </w:rPr>
        <w:t>Согласно ч. 3 ст. 7 Закона о контрактной системе гласит, что информация, предусмотренная настоящим Федеральным законом и размещенная в единой информационной системе, должна быть полной и достоверной.</w:t>
      </w:r>
    </w:p>
    <w:p w:rsidR="00F46BB5" w:rsidRPr="00F46BB5" w:rsidRDefault="00F46BB5" w:rsidP="00F46BB5">
      <w:pPr>
        <w:ind w:firstLine="708"/>
        <w:jc w:val="both"/>
        <w:rPr>
          <w:sz w:val="26"/>
          <w:szCs w:val="26"/>
        </w:rPr>
      </w:pPr>
      <w:r w:rsidRPr="00F46BB5">
        <w:rPr>
          <w:sz w:val="26"/>
          <w:szCs w:val="26"/>
        </w:rPr>
        <w:t>В соответствии с п. 16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статьей 44 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частью 13 статьи 44 настоящего Федерального закона.</w:t>
      </w:r>
    </w:p>
    <w:p w:rsidR="00F46BB5" w:rsidRPr="00F46BB5" w:rsidRDefault="00F46BB5" w:rsidP="00F46BB5">
      <w:pPr>
        <w:ind w:firstLine="708"/>
        <w:jc w:val="both"/>
        <w:rPr>
          <w:sz w:val="26"/>
          <w:szCs w:val="26"/>
        </w:rPr>
      </w:pPr>
      <w:r w:rsidRPr="00F46BB5">
        <w:rPr>
          <w:sz w:val="26"/>
          <w:szCs w:val="26"/>
        </w:rPr>
        <w:t>В силу ч. 1 ст. 44 Закона о контрактной системе при проведении конкурентных способов заказчик обязан установить требование обеспечения заявок на участие в закупке. Заказчик вправе не устанавливать такое требование в случае, если начальная (максимальная) цена контракта не превышает один миллион рублей.</w:t>
      </w:r>
    </w:p>
    <w:p w:rsidR="00F46BB5" w:rsidRPr="00F46BB5" w:rsidRDefault="00F46BB5" w:rsidP="00F46BB5">
      <w:pPr>
        <w:ind w:firstLine="708"/>
        <w:jc w:val="both"/>
        <w:rPr>
          <w:sz w:val="26"/>
          <w:szCs w:val="26"/>
        </w:rPr>
      </w:pPr>
      <w:r w:rsidRPr="00F46BB5">
        <w:rPr>
          <w:sz w:val="26"/>
          <w:szCs w:val="26"/>
        </w:rPr>
        <w:t>Обеспечение заявки на участие в закупке может предоставляться участником закупки в виде денежных средств или независимой гарантии, предусмотренной статьей 45 настоящего Федерального закона.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 (ч. 4 ст. 44 Закона о контрактной системе).</w:t>
      </w:r>
    </w:p>
    <w:p w:rsidR="00F46BB5" w:rsidRPr="00F46BB5" w:rsidRDefault="00F46BB5" w:rsidP="00F46BB5">
      <w:pPr>
        <w:ind w:firstLine="708"/>
        <w:jc w:val="both"/>
        <w:rPr>
          <w:sz w:val="26"/>
          <w:szCs w:val="26"/>
        </w:rPr>
      </w:pPr>
      <w:r w:rsidRPr="00F46BB5">
        <w:rPr>
          <w:sz w:val="26"/>
          <w:szCs w:val="26"/>
        </w:rPr>
        <w:t>При этом Правительство Российской Федерации вправе установить особенности порядка предоставления обеспечения заявок на участие в закупках участниками закупок, являющимися иностранными лицами (ч. 18 ст. 44 Закона о контрактной системе).</w:t>
      </w:r>
    </w:p>
    <w:p w:rsidR="00F46BB5" w:rsidRPr="00F46BB5" w:rsidRDefault="00F46BB5" w:rsidP="00F46BB5">
      <w:pPr>
        <w:ind w:firstLine="708"/>
        <w:jc w:val="both"/>
        <w:rPr>
          <w:sz w:val="26"/>
          <w:szCs w:val="26"/>
        </w:rPr>
      </w:pPr>
      <w:r w:rsidRPr="00F46BB5">
        <w:rPr>
          <w:sz w:val="26"/>
          <w:szCs w:val="26"/>
        </w:rPr>
        <w:t>Указанные особенности порядка предоставления обеспечения заявок на участие в закупках товаров, работ, услуг для обеспечения государственных или муниципальных нужд участниками таких закупок, являющимися иностранными лицами, определены постановлением Правительства РФ № 579.</w:t>
      </w:r>
    </w:p>
    <w:p w:rsidR="00F46BB5" w:rsidRPr="00F46BB5" w:rsidRDefault="00F46BB5" w:rsidP="00F46BB5">
      <w:pPr>
        <w:ind w:firstLine="708"/>
        <w:jc w:val="both"/>
        <w:rPr>
          <w:sz w:val="26"/>
          <w:szCs w:val="26"/>
        </w:rPr>
      </w:pPr>
      <w:r w:rsidRPr="00F46BB5">
        <w:rPr>
          <w:sz w:val="26"/>
          <w:szCs w:val="26"/>
        </w:rPr>
        <w:t>Положения данного постановления Правительства РФ № 579 применяются при осуществлении закупок, извещения об осуществлении которых размещены в единой информационной системе в сфере закупок после дня вступления в силу настоящего постановления, т.е. начиная с 02.06.2023 г.</w:t>
      </w:r>
    </w:p>
    <w:p w:rsidR="00F46BB5" w:rsidRPr="00F46BB5" w:rsidRDefault="00F46BB5" w:rsidP="00F46BB5">
      <w:pPr>
        <w:ind w:firstLine="708"/>
        <w:jc w:val="both"/>
        <w:rPr>
          <w:sz w:val="26"/>
          <w:szCs w:val="26"/>
        </w:rPr>
      </w:pPr>
      <w:r w:rsidRPr="00F46BB5">
        <w:rPr>
          <w:sz w:val="26"/>
          <w:szCs w:val="26"/>
        </w:rPr>
        <w:lastRenderedPageBreak/>
        <w:t>Комиссией УФАС установлено, что согласно положениям структурированной формы извещения (раздел "Обеспечение заявки" - "Порядок внесения денежных средств в качестве обеспечения заявки на участие в закупке, а также условия гарантии") заказчик не предусмотрел условия о том, что участники закупки, являющиеся иностранными лицами, предоставляют обеспечение заявки в соответствии с постановлением Правительства № 579.</w:t>
      </w:r>
    </w:p>
    <w:p w:rsidR="00F46BB5" w:rsidRDefault="00F46BB5" w:rsidP="00F46BB5">
      <w:pPr>
        <w:ind w:firstLine="708"/>
        <w:jc w:val="both"/>
        <w:rPr>
          <w:sz w:val="26"/>
          <w:szCs w:val="26"/>
        </w:rPr>
      </w:pPr>
      <w:r w:rsidRPr="00F46BB5">
        <w:rPr>
          <w:sz w:val="26"/>
          <w:szCs w:val="26"/>
        </w:rPr>
        <w:t>Данные действия (бездействие) заказчика является нарушением ч. 3</w:t>
      </w:r>
      <w:r>
        <w:rPr>
          <w:sz w:val="26"/>
          <w:szCs w:val="26"/>
        </w:rPr>
        <w:t xml:space="preserve"> </w:t>
      </w:r>
      <w:r w:rsidRPr="00F46BB5">
        <w:rPr>
          <w:sz w:val="26"/>
          <w:szCs w:val="26"/>
        </w:rPr>
        <w:t>ст. 7, п. 16 ч. 1 ст. 42, ч. 18 ст. 44 Закона о контрактной системе, что образует признаки события административного правонарушения, предусмотренного</w:t>
      </w:r>
      <w:r>
        <w:rPr>
          <w:sz w:val="26"/>
          <w:szCs w:val="26"/>
        </w:rPr>
        <w:t xml:space="preserve"> </w:t>
      </w:r>
      <w:r w:rsidRPr="00F46BB5">
        <w:rPr>
          <w:sz w:val="26"/>
          <w:szCs w:val="26"/>
        </w:rPr>
        <w:t>ч. 1.4 ст. 7.30 КоАП РФ.</w:t>
      </w:r>
    </w:p>
    <w:p w:rsidR="00F46BB5" w:rsidRPr="00F46BB5" w:rsidRDefault="00F46BB5" w:rsidP="00F46BB5">
      <w:pPr>
        <w:ind w:firstLine="708"/>
        <w:jc w:val="both"/>
        <w:rPr>
          <w:sz w:val="26"/>
          <w:szCs w:val="26"/>
        </w:rPr>
      </w:pPr>
      <w:r w:rsidRPr="00F46BB5">
        <w:rPr>
          <w:sz w:val="26"/>
          <w:szCs w:val="26"/>
        </w:rPr>
        <w:t>Выявленное в действиях Заказчика нарушение является существенным, что дало основания для выдачи обязательного для исполнения предписания о его устранении.</w:t>
      </w:r>
    </w:p>
    <w:p w:rsidR="00FD0A72" w:rsidRDefault="007B1929" w:rsidP="00322AE3">
      <w:pPr>
        <w:ind w:firstLine="539"/>
        <w:jc w:val="both"/>
        <w:rPr>
          <w:sz w:val="26"/>
          <w:szCs w:val="26"/>
        </w:rPr>
      </w:pPr>
      <w:r>
        <w:rPr>
          <w:sz w:val="26"/>
          <w:szCs w:val="26"/>
        </w:rPr>
        <w:t>Комиссия УФАС, руководствуясь ст. 8, 32, 42, 48, 99, 106 Закона о контрактной системе, Административным регламентом,</w:t>
      </w:r>
    </w:p>
    <w:p w:rsidR="00BE20D9" w:rsidRDefault="00BE20D9">
      <w:pPr>
        <w:jc w:val="center"/>
        <w:rPr>
          <w:sz w:val="26"/>
          <w:szCs w:val="26"/>
        </w:rPr>
      </w:pPr>
    </w:p>
    <w:p w:rsidR="00FD0A72" w:rsidRDefault="007B1929">
      <w:pPr>
        <w:jc w:val="center"/>
        <w:rPr>
          <w:b/>
          <w:sz w:val="26"/>
          <w:szCs w:val="26"/>
        </w:rPr>
      </w:pPr>
      <w:r>
        <w:rPr>
          <w:b/>
          <w:sz w:val="26"/>
          <w:szCs w:val="26"/>
        </w:rPr>
        <w:t xml:space="preserve">РЕШИЛА: </w:t>
      </w:r>
    </w:p>
    <w:p w:rsidR="00FD0A72" w:rsidRDefault="00FD0A72">
      <w:pPr>
        <w:ind w:firstLine="708"/>
        <w:jc w:val="both"/>
        <w:outlineLvl w:val="1"/>
        <w:rPr>
          <w:sz w:val="26"/>
          <w:szCs w:val="26"/>
        </w:rPr>
      </w:pPr>
    </w:p>
    <w:p w:rsidR="00EC5594" w:rsidRDefault="00EC5594" w:rsidP="00EC5594">
      <w:pPr>
        <w:ind w:right="-5" w:firstLine="720"/>
        <w:jc w:val="both"/>
        <w:rPr>
          <w:sz w:val="26"/>
          <w:szCs w:val="26"/>
        </w:rPr>
      </w:pPr>
      <w:r>
        <w:rPr>
          <w:sz w:val="26"/>
          <w:szCs w:val="26"/>
        </w:rPr>
        <w:t xml:space="preserve">1. Признать жалобу </w:t>
      </w:r>
      <w:r w:rsidR="00F46BB5" w:rsidRPr="00F46BB5">
        <w:rPr>
          <w:iCs/>
          <w:sz w:val="26"/>
          <w:szCs w:val="26"/>
        </w:rPr>
        <w:t>ООО «ЭЦ «Профстройпроект»</w:t>
      </w:r>
      <w:r w:rsidR="00F46BB5">
        <w:rPr>
          <w:iCs/>
          <w:sz w:val="26"/>
          <w:szCs w:val="26"/>
        </w:rPr>
        <w:t xml:space="preserve"> </w:t>
      </w:r>
      <w:r w:rsidR="005F3B92">
        <w:rPr>
          <w:sz w:val="26"/>
          <w:szCs w:val="26"/>
        </w:rPr>
        <w:t>обоснованной</w:t>
      </w:r>
      <w:r w:rsidR="00F46BB5">
        <w:rPr>
          <w:sz w:val="26"/>
          <w:szCs w:val="26"/>
        </w:rPr>
        <w:t xml:space="preserve"> в части довода о ненадлежащем формировании протокола рассмотрения и оценки вторых частей заявок.</w:t>
      </w:r>
    </w:p>
    <w:p w:rsidR="00EC5594" w:rsidRDefault="00EC5594" w:rsidP="00EC5594">
      <w:pPr>
        <w:ind w:right="-5" w:firstLine="720"/>
        <w:jc w:val="both"/>
        <w:rPr>
          <w:sz w:val="26"/>
          <w:szCs w:val="26"/>
        </w:rPr>
      </w:pPr>
      <w:r>
        <w:rPr>
          <w:sz w:val="26"/>
          <w:szCs w:val="26"/>
        </w:rPr>
        <w:t>2. Признать в действиях Заказчика нарушени</w:t>
      </w:r>
      <w:r w:rsidR="00F46BB5">
        <w:rPr>
          <w:sz w:val="26"/>
          <w:szCs w:val="26"/>
        </w:rPr>
        <w:t>я</w:t>
      </w:r>
      <w:r w:rsidR="00271770">
        <w:rPr>
          <w:sz w:val="26"/>
          <w:szCs w:val="26"/>
        </w:rPr>
        <w:t xml:space="preserve"> </w:t>
      </w:r>
      <w:r w:rsidR="00F46BB5">
        <w:rPr>
          <w:bCs/>
          <w:iCs/>
          <w:sz w:val="26"/>
          <w:szCs w:val="26"/>
        </w:rPr>
        <w:t xml:space="preserve">п. 4 ч. 13 ст. 48, </w:t>
      </w:r>
      <w:r w:rsidR="00F46BB5" w:rsidRPr="00F46BB5">
        <w:rPr>
          <w:bCs/>
          <w:iCs/>
          <w:sz w:val="26"/>
          <w:szCs w:val="26"/>
        </w:rPr>
        <w:t>ч. 3 ст. 7, п. 16 ч. 1 ст. 42, ч. 18 ст. 44</w:t>
      </w:r>
      <w:r w:rsidR="00F46BB5">
        <w:rPr>
          <w:sz w:val="26"/>
          <w:szCs w:val="26"/>
        </w:rPr>
        <w:t xml:space="preserve"> </w:t>
      </w:r>
      <w:r>
        <w:rPr>
          <w:sz w:val="26"/>
          <w:szCs w:val="26"/>
        </w:rPr>
        <w:t>Закона о контрактной системе.</w:t>
      </w:r>
    </w:p>
    <w:p w:rsidR="00EC5594" w:rsidRDefault="00EC5594" w:rsidP="00EC5594">
      <w:pPr>
        <w:ind w:right="-5" w:firstLine="720"/>
        <w:jc w:val="both"/>
        <w:rPr>
          <w:sz w:val="26"/>
          <w:szCs w:val="26"/>
        </w:rPr>
      </w:pPr>
      <w:r>
        <w:rPr>
          <w:sz w:val="26"/>
          <w:szCs w:val="26"/>
        </w:rPr>
        <w:t>3. Выдать Заказчику, его конкурсной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rsidR="00EC5594" w:rsidRDefault="00EC5594" w:rsidP="00EC5594">
      <w:pPr>
        <w:ind w:right="-5" w:firstLine="720"/>
        <w:jc w:val="both"/>
        <w:rPr>
          <w:sz w:val="26"/>
          <w:szCs w:val="26"/>
        </w:rPr>
      </w:pPr>
      <w:r>
        <w:rPr>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FD0A72" w:rsidRDefault="00FD0A72">
      <w:pPr>
        <w:jc w:val="both"/>
        <w:outlineLvl w:val="1"/>
        <w:rPr>
          <w:color w:val="000000"/>
          <w:sz w:val="26"/>
          <w:szCs w:val="26"/>
        </w:rPr>
      </w:pPr>
    </w:p>
    <w:p w:rsidR="00F83A64" w:rsidRDefault="00F83A64">
      <w:pPr>
        <w:jc w:val="both"/>
        <w:outlineLvl w:val="1"/>
        <w:rPr>
          <w:color w:val="000000"/>
          <w:sz w:val="26"/>
          <w:szCs w:val="26"/>
        </w:rPr>
      </w:pPr>
    </w:p>
    <w:p w:rsidR="00FD0A72" w:rsidRDefault="00FD0A72">
      <w:pPr>
        <w:ind w:left="6372" w:firstLine="708"/>
        <w:rPr>
          <w:sz w:val="26"/>
          <w:szCs w:val="26"/>
        </w:rPr>
      </w:pPr>
      <w:bookmarkStart w:id="1" w:name="_GoBack"/>
      <w:bookmarkEnd w:id="1"/>
    </w:p>
    <w:p w:rsidR="00FD0A72" w:rsidRDefault="007B1929">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sectPr w:rsidR="00FD0A72">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181A" w:rsidRDefault="0055181A" w:rsidP="00D42853">
      <w:r>
        <w:separator/>
      </w:r>
    </w:p>
  </w:endnote>
  <w:endnote w:type="continuationSeparator" w:id="0">
    <w:p w:rsidR="0055181A" w:rsidRDefault="0055181A" w:rsidP="00D42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181A" w:rsidRDefault="0055181A" w:rsidP="00D42853">
      <w:r>
        <w:separator/>
      </w:r>
    </w:p>
  </w:footnote>
  <w:footnote w:type="continuationSeparator" w:id="0">
    <w:p w:rsidR="0055181A" w:rsidRDefault="0055181A" w:rsidP="00D428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A72"/>
    <w:rsid w:val="00011147"/>
    <w:rsid w:val="00023EB4"/>
    <w:rsid w:val="00057A54"/>
    <w:rsid w:val="00080C96"/>
    <w:rsid w:val="000A5FF7"/>
    <w:rsid w:val="000C30D0"/>
    <w:rsid w:val="000F0C09"/>
    <w:rsid w:val="000F688D"/>
    <w:rsid w:val="0014008A"/>
    <w:rsid w:val="00171C40"/>
    <w:rsid w:val="00184199"/>
    <w:rsid w:val="002707C7"/>
    <w:rsid w:val="00271770"/>
    <w:rsid w:val="0028076B"/>
    <w:rsid w:val="00291AA9"/>
    <w:rsid w:val="002B37F3"/>
    <w:rsid w:val="002F379E"/>
    <w:rsid w:val="00322AE3"/>
    <w:rsid w:val="00346C82"/>
    <w:rsid w:val="003E374C"/>
    <w:rsid w:val="00460DE4"/>
    <w:rsid w:val="0047084D"/>
    <w:rsid w:val="004C14FC"/>
    <w:rsid w:val="004E4F2D"/>
    <w:rsid w:val="0055181A"/>
    <w:rsid w:val="0055619B"/>
    <w:rsid w:val="005F3B92"/>
    <w:rsid w:val="0063445C"/>
    <w:rsid w:val="00645F73"/>
    <w:rsid w:val="006840F5"/>
    <w:rsid w:val="006E02B3"/>
    <w:rsid w:val="006F0CD4"/>
    <w:rsid w:val="007325F6"/>
    <w:rsid w:val="00734FC7"/>
    <w:rsid w:val="007412F0"/>
    <w:rsid w:val="0078105D"/>
    <w:rsid w:val="007B1929"/>
    <w:rsid w:val="007B241A"/>
    <w:rsid w:val="007B6B46"/>
    <w:rsid w:val="007C50B0"/>
    <w:rsid w:val="007C5B14"/>
    <w:rsid w:val="007D53C3"/>
    <w:rsid w:val="00827596"/>
    <w:rsid w:val="008775BB"/>
    <w:rsid w:val="00906529"/>
    <w:rsid w:val="009B682E"/>
    <w:rsid w:val="009D735A"/>
    <w:rsid w:val="009E6B38"/>
    <w:rsid w:val="009E72B9"/>
    <w:rsid w:val="00A143BF"/>
    <w:rsid w:val="00AB64C7"/>
    <w:rsid w:val="00AD1B29"/>
    <w:rsid w:val="00AD5B19"/>
    <w:rsid w:val="00B51E6C"/>
    <w:rsid w:val="00B675E4"/>
    <w:rsid w:val="00BA0932"/>
    <w:rsid w:val="00BB4006"/>
    <w:rsid w:val="00BE20D9"/>
    <w:rsid w:val="00C02249"/>
    <w:rsid w:val="00C74CE6"/>
    <w:rsid w:val="00CB0F2F"/>
    <w:rsid w:val="00D42853"/>
    <w:rsid w:val="00D54F8D"/>
    <w:rsid w:val="00D56D1F"/>
    <w:rsid w:val="00D904BE"/>
    <w:rsid w:val="00DD21D4"/>
    <w:rsid w:val="00E12BC2"/>
    <w:rsid w:val="00E201EB"/>
    <w:rsid w:val="00E34AE3"/>
    <w:rsid w:val="00E479C0"/>
    <w:rsid w:val="00EC5594"/>
    <w:rsid w:val="00ED2501"/>
    <w:rsid w:val="00F46BB5"/>
    <w:rsid w:val="00F4741E"/>
    <w:rsid w:val="00F83A64"/>
    <w:rsid w:val="00F93E44"/>
    <w:rsid w:val="00F97D69"/>
    <w:rsid w:val="00FD0A7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7F69D8-9C3F-4DA1-BCAF-F6FCA40D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qFormat/>
    <w:locked/>
    <w:rsid w:val="003F5525"/>
    <w:rPr>
      <w:rFonts w:ascii="MS Mincho" w:eastAsia="MS Mincho" w:hAnsi="MS Mincho"/>
      <w:lang w:val="x-none" w:eastAsia="ja-JP"/>
    </w:rPr>
  </w:style>
  <w:style w:type="character" w:customStyle="1" w:styleId="1">
    <w:name w:val="Текст сноски Знак1"/>
    <w:basedOn w:val="a0"/>
    <w:uiPriority w:val="99"/>
    <w:semiHidden/>
    <w:qFormat/>
    <w:rsid w:val="003F5525"/>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unhideWhenUsed/>
    <w:qFormat/>
    <w:rsid w:val="003F5525"/>
    <w:rPr>
      <w:vertAlign w:val="superscript"/>
    </w:rPr>
  </w:style>
  <w:style w:type="character" w:customStyle="1" w:styleId="-">
    <w:name w:val="Интернет-ссылка"/>
    <w:uiPriority w:val="99"/>
    <w:rsid w:val="00B11993"/>
    <w:rPr>
      <w:rFonts w:cs="Times New Roman"/>
      <w:color w:val="0000FF"/>
      <w:u w:val="single"/>
    </w:rPr>
  </w:style>
  <w:style w:type="character" w:customStyle="1" w:styleId="Bodytext">
    <w:name w:val="Body text_"/>
    <w:link w:val="10"/>
    <w:qFormat/>
    <w:rsid w:val="00D04A81"/>
    <w:rPr>
      <w:sz w:val="26"/>
      <w:szCs w:val="26"/>
      <w:shd w:val="clear" w:color="auto" w:fill="FFFFFF"/>
    </w:rPr>
  </w:style>
  <w:style w:type="paragraph" w:customStyle="1" w:styleId="a5">
    <w:name w:val="Заголовок"/>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styleId="aa">
    <w:name w:val="footnote text"/>
    <w:basedOn w:val="a"/>
    <w:uiPriority w:val="99"/>
    <w:unhideWhenUsed/>
    <w:qFormat/>
    <w:rsid w:val="003F5525"/>
    <w:rPr>
      <w:rFonts w:ascii="MS Mincho" w:eastAsia="MS Mincho" w:hAnsiTheme="minorHAnsi" w:cstheme="minorBidi"/>
      <w:sz w:val="22"/>
      <w:szCs w:val="22"/>
      <w:lang w:val="x-none" w:eastAsia="ja-JP"/>
    </w:rPr>
  </w:style>
  <w:style w:type="paragraph" w:styleId="ab">
    <w:name w:val="List Paragraph"/>
    <w:basedOn w:val="a"/>
    <w:uiPriority w:val="34"/>
    <w:qFormat/>
    <w:rsid w:val="0068502A"/>
    <w:pPr>
      <w:ind w:left="720"/>
      <w:contextualSpacing/>
    </w:p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paragraph" w:customStyle="1" w:styleId="10">
    <w:name w:val="Основной текст1"/>
    <w:basedOn w:val="a"/>
    <w:link w:val="Bodytext"/>
    <w:qForma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c">
    <w:name w:val="Hyperlink"/>
    <w:basedOn w:val="a0"/>
    <w:uiPriority w:val="99"/>
    <w:unhideWhenUsed/>
    <w:rsid w:val="00CB0F2F"/>
    <w:rPr>
      <w:color w:val="0563C1" w:themeColor="hyperlink"/>
      <w:u w:val="single"/>
    </w:rPr>
  </w:style>
  <w:style w:type="table" w:styleId="ad">
    <w:name w:val="Table Grid"/>
    <w:basedOn w:val="a1"/>
    <w:uiPriority w:val="39"/>
    <w:rsid w:val="00C74CE6"/>
    <w:pPr>
      <w:suppressAutoHyphens w:val="0"/>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322AE3"/>
    <w:pPr>
      <w:suppressAutoHyphens w:val="0"/>
    </w:pPr>
    <w:rPr>
      <w:rFonts w:ascii="Times New Roman" w:eastAsia="Times New Roman" w:hAnsi="Times New Roman" w:cs="Times New Roman"/>
      <w:sz w:val="20"/>
      <w:szCs w:val="20"/>
      <w:lang w:eastAsia="ru-RU"/>
    </w:rPr>
  </w:style>
  <w:style w:type="paragraph" w:customStyle="1" w:styleId="LO-normal">
    <w:name w:val="LO-normal"/>
    <w:qFormat/>
    <w:rsid w:val="00EC5594"/>
    <w:rPr>
      <w:rFonts w:ascii="Times New Roman" w:eastAsia="Noto Serif CJK SC" w:hAnsi="Times New Roman" w:cs="Lohit Devanagari"/>
      <w:color w:val="00000A"/>
      <w:sz w:val="24"/>
      <w:szCs w:val="24"/>
      <w:lang w:eastAsia="zh-CN" w:bidi="hi-IN"/>
    </w:rPr>
  </w:style>
  <w:style w:type="table" w:customStyle="1" w:styleId="dt">
    <w:name w:val="dt"/>
    <w:basedOn w:val="a1"/>
    <w:rsid w:val="006F0CD4"/>
    <w:pPr>
      <w:suppressAutoHyphens w:val="0"/>
    </w:pPr>
    <w:rPr>
      <w:rFonts w:ascii="Times New Roman" w:eastAsia="Times New Roman" w:hAnsi="Times New Roman" w:cs="Times New Roman"/>
      <w:sz w:val="20"/>
      <w:szCs w:val="20"/>
      <w:lang w:eastAsia="ru-RU"/>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74195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5578</Words>
  <Characters>31799</Characters>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description/>
  <dcterms:created xsi:type="dcterms:W3CDTF">2023-12-19T15:48:00Z</dcterms:created>
  <dcterms:modified xsi:type="dcterms:W3CDTF">2023-12-19T15:48:00Z</dcterms:modified>
</cp:coreProperties>
</file>