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E94FD3">
        <w:trPr>
          <w:trHeight w:val="4195"/>
          <w:jc w:val="right"/>
        </w:trPr>
        <w:tc>
          <w:tcPr>
            <w:tcW w:w="4961" w:type="dxa"/>
          </w:tcPr>
          <w:p w:rsidR="00E94FD3" w:rsidRDefault="009F29ED">
            <w:pPr>
              <w:pStyle w:val="ab"/>
            </w:pPr>
            <w:r>
              <w:rPr>
                <w:noProof/>
                <w:lang w:eastAsia="ru-RU" w:bidi="ar-SA"/>
              </w:rPr>
              <w:drawing>
                <wp:anchor distT="0" distB="0" distL="0" distR="0" simplePos="0" relativeHeight="2" behindDoc="0" locked="0" layoutInCell="0" allowOverlap="1">
                  <wp:simplePos x="0" y="0"/>
                  <wp:positionH relativeFrom="margin">
                    <wp:align>left</wp:align>
                  </wp:positionH>
                  <wp:positionV relativeFrom="page">
                    <wp:posOffset>179705</wp:posOffset>
                  </wp:positionV>
                  <wp:extent cx="2628265" cy="3275965"/>
                  <wp:effectExtent l="0" t="0" r="0" b="0"/>
                  <wp:wrapNone/>
                  <wp:docPr id="1" name="Графический объек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Государственное учреждение здравоохранения "Городская больница № 3"</w:t>
            </w:r>
            <w:r>
              <w:br/>
              <w:t>432044, г. Ульяновск, ул. Хрустальная, д. 3 Б</w:t>
            </w:r>
            <w:r>
              <w:br/>
              <w:t>economgb3@mail.ru; ofisgb@mail.ru</w:t>
            </w:r>
            <w:r>
              <w:br/>
            </w:r>
            <w:r>
              <w:br/>
              <w:t>Общество с ограниченной ответственностью "ПРОМЫШЛЕННОЕ ОБОРУДОВАНИЕ"</w:t>
            </w:r>
            <w:r>
              <w:br/>
            </w:r>
            <w:r>
              <w:t>603167, г. Нижний Новгород, ул. Гордеевская, д. 56, пом. 177</w:t>
            </w:r>
            <w:r>
              <w:br/>
              <w:t>603028, г. Нижний Новгород, Комсомольское шоссе, д. 5, оф. 104</w:t>
            </w:r>
            <w:r>
              <w:br/>
              <w:t>isaev.75@mail.ru; promsnabnn@bk.ru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3" behindDoc="0" locked="0" layoutInCell="0" allowOverlap="1">
                      <wp:simplePos x="0" y="0"/>
                      <wp:positionH relativeFrom="page">
                        <wp:posOffset>1131570</wp:posOffset>
                      </wp:positionH>
                      <wp:positionV relativeFrom="page">
                        <wp:posOffset>2747645</wp:posOffset>
                      </wp:positionV>
                      <wp:extent cx="720090" cy="179705"/>
                      <wp:effectExtent l="0" t="0" r="0" b="0"/>
                      <wp:wrapNone/>
                      <wp:docPr id="2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090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E94FD3" w:rsidRDefault="00E94FD3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2" o:spid="_x0000_s1026" type="#_x0000_t202" style="position:absolute;margin-left:89.1pt;margin-top:216.35pt;width:56.7pt;height:14.15pt;z-index:3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" o:allowincell="f" stroked="f">
                      <v:textbox inset="0,0,0,0">
                        <w:txbxContent>
                          <w:p w:rsidR="00E94FD3" w:rsidRDefault="00E94FD3">
                            <w:pPr>
                              <w:pStyle w:val="a8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4" behindDoc="0" locked="0" layoutInCell="0" allowOverlap="1">
                      <wp:simplePos x="0" y="0"/>
                      <wp:positionH relativeFrom="page">
                        <wp:posOffset>784860</wp:posOffset>
                      </wp:positionH>
                      <wp:positionV relativeFrom="page">
                        <wp:posOffset>3324225</wp:posOffset>
                      </wp:positionV>
                      <wp:extent cx="2491740" cy="647700"/>
                      <wp:effectExtent l="0" t="0" r="0" b="0"/>
                      <wp:wrapNone/>
                      <wp:docPr id="3" name="Врезка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91740" cy="647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E94FD3" w:rsidRDefault="009F29ED">
                                  <w:pPr>
                                    <w:jc w:val="both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000000"/>
                                    </w:rPr>
                                    <w:instrText xml:space="preserve"> DOCVARIABLE Annotation </w:instrText>
                                  </w:r>
                                  <w:r>
                                    <w:rPr>
                                      <w:color w:val="000000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000000"/>
                                    </w:rPr>
                                    <w:t>Решение по делу № 073/06/106-725/2023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Врезка4" o:spid="_x0000_s1027" type="#_x0000_t202" style="position:absolute;margin-left:61.8pt;margin-top:261.75pt;width:196.2pt;height:51pt;z-index:4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" o:allowincell="f" stroked="f">
                      <v:textbox inset="0,0,0,0">
                        <w:txbxContent>
                          <w:p w:rsidR="00E94FD3" w:rsidRDefault="009F29ED">
                            <w:pPr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fldChar w:fldCharType="begin"/>
                            </w:r>
                            <w:r>
                              <w:rPr>
                                <w:color w:val="000000"/>
                              </w:rPr>
                              <w:instrText xml:space="preserve"> DOCVARIABLE Annotation </w:instrText>
                            </w:r>
                            <w:r>
                              <w:rPr>
                                <w:color w:val="000000"/>
                              </w:rPr>
                              <w:fldChar w:fldCharType="separate"/>
                            </w:r>
                            <w:r>
                              <w:rPr>
                                <w:color w:val="000000"/>
                              </w:rPr>
                              <w:t>Решение по делу № 073/06/106-725/2023</w:t>
                            </w:r>
                            <w:r>
                              <w:rPr>
                                <w:color w:val="000000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4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E94FD3" w:rsidRDefault="00E94FD3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Врезка3" o:spid="_x0000_s1028" type="#_x0000_t202" style="position:absolute;margin-left:177.85pt;margin-top:216.5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ByCQm8ABAABWAwAADgAAAAAAAAAAAAAA&#10;AAAuAgAAZHJzL2Uyb0RvYy54bWxQSwECLQAUAAYACAAAACEAJc6M6OEAAAALAQAADwAAAAAAAAAA&#10;AAAAAAAaBAAAZHJzL2Rvd25yZXYueG1sUEsFBgAAAAAEAAQA8wAAACgFAAAAAA==&#10;" o:allowincell="f" stroked="f">
                      <v:textbox inset="0,0,0,0">
                        <w:txbxContent>
                          <w:p w:rsidR="00E94FD3" w:rsidRDefault="00E94FD3">
                            <w:pPr>
                              <w:pStyle w:val="a8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E94FD3" w:rsidRDefault="00E94FD3">
      <w:pPr>
        <w:jc w:val="right"/>
      </w:pPr>
    </w:p>
    <w:p w:rsidR="00E94FD3" w:rsidRDefault="00E94FD3">
      <w:bookmarkStart w:id="0" w:name="_GoBack"/>
      <w:bookmarkEnd w:id="0"/>
    </w:p>
    <w:p w:rsidR="00E94FD3" w:rsidRDefault="00E94FD3"/>
    <w:p w:rsidR="00E94FD3" w:rsidRDefault="00E94FD3"/>
    <w:p w:rsidR="00E94FD3" w:rsidRDefault="00E94FD3"/>
    <w:p w:rsidR="00E94FD3" w:rsidRDefault="009F29ED">
      <w:pPr>
        <w:keepNext/>
        <w:jc w:val="center"/>
        <w:rPr>
          <w:sz w:val="22"/>
          <w:szCs w:val="22"/>
        </w:rPr>
      </w:pPr>
      <w:r>
        <w:rPr>
          <w:b/>
        </w:rPr>
        <w:t>РЕШЕНИЕ</w:t>
      </w:r>
    </w:p>
    <w:p w:rsidR="00E94FD3" w:rsidRDefault="00E94FD3">
      <w:pPr>
        <w:keepNext/>
        <w:jc w:val="center"/>
      </w:pPr>
    </w:p>
    <w:p w:rsidR="00E94FD3" w:rsidRDefault="009F29ED">
      <w:pPr>
        <w:keepNext/>
      </w:pPr>
      <w:r>
        <w:t>07.</w:t>
      </w:r>
      <w:r>
        <w:t>11.2023                                                                                                  Дело № 073/06/106-725/2023</w:t>
      </w:r>
    </w:p>
    <w:p w:rsidR="00E94FD3" w:rsidRDefault="009F29ED">
      <w:pPr>
        <w:keepNext/>
        <w:jc w:val="center"/>
      </w:pPr>
      <w:r>
        <w:t>г. Ульяновск</w:t>
      </w:r>
    </w:p>
    <w:p w:rsidR="00E94FD3" w:rsidRDefault="00E94FD3">
      <w:pPr>
        <w:keepNext/>
        <w:jc w:val="center"/>
      </w:pPr>
    </w:p>
    <w:p w:rsidR="00E94FD3" w:rsidRDefault="009F29ED">
      <w:pPr>
        <w:keepNext/>
        <w:ind w:firstLine="709"/>
        <w:jc w:val="both"/>
      </w:pPr>
      <w:r>
        <w:t>Комиссия Управления Федеральной антимонопольной службы по Ульяновской области по контролю закупок в составе:</w:t>
      </w:r>
    </w:p>
    <w:tbl>
      <w:tblPr>
        <w:tblW w:w="9842" w:type="dxa"/>
        <w:tblInd w:w="249" w:type="dxa"/>
        <w:tblLayout w:type="fixed"/>
        <w:tblLook w:val="0000" w:firstRow="0" w:lastRow="0" w:firstColumn="0" w:lastColumn="0" w:noHBand="0" w:noVBand="0"/>
      </w:tblPr>
      <w:tblGrid>
        <w:gridCol w:w="2865"/>
        <w:gridCol w:w="705"/>
        <w:gridCol w:w="6272"/>
      </w:tblGrid>
      <w:tr w:rsidR="00E94FD3">
        <w:trPr>
          <w:trHeight w:val="165"/>
        </w:trPr>
        <w:tc>
          <w:tcPr>
            <w:tcW w:w="2865" w:type="dxa"/>
          </w:tcPr>
          <w:p w:rsidR="00E94FD3" w:rsidRDefault="009F29ED">
            <w:pPr>
              <w:spacing w:line="276" w:lineRule="auto"/>
              <w:ind w:right="-590"/>
              <w:jc w:val="both"/>
            </w:pPr>
            <w:r>
              <w:rPr>
                <w:lang w:eastAsia="en-US"/>
              </w:rPr>
              <w:t>председателя комиссии</w:t>
            </w:r>
          </w:p>
        </w:tc>
        <w:tc>
          <w:tcPr>
            <w:tcW w:w="6977" w:type="dxa"/>
            <w:gridSpan w:val="2"/>
          </w:tcPr>
          <w:p w:rsidR="00E94FD3" w:rsidRDefault="009F29ED">
            <w:pPr>
              <w:tabs>
                <w:tab w:val="left" w:pos="6980"/>
              </w:tabs>
              <w:spacing w:line="276" w:lineRule="auto"/>
              <w:ind w:left="743" w:right="181"/>
              <w:contextualSpacing/>
              <w:jc w:val="both"/>
            </w:pPr>
            <w:r>
              <w:rPr>
                <w:lang w:eastAsia="en-US"/>
              </w:rPr>
              <w:t xml:space="preserve">- заместителя руководителя управления – начальника отдела </w:t>
            </w:r>
            <w:r>
              <w:rPr>
                <w:kern w:val="0"/>
              </w:rPr>
              <w:t>&lt;…&gt;</w:t>
            </w:r>
            <w:r>
              <w:rPr>
                <w:lang w:eastAsia="en-US"/>
              </w:rPr>
              <w:t>;</w:t>
            </w:r>
          </w:p>
        </w:tc>
      </w:tr>
      <w:tr w:rsidR="00E94FD3">
        <w:trPr>
          <w:trHeight w:val="1212"/>
        </w:trPr>
        <w:tc>
          <w:tcPr>
            <w:tcW w:w="3570" w:type="dxa"/>
            <w:gridSpan w:val="2"/>
          </w:tcPr>
          <w:p w:rsidR="00E94FD3" w:rsidRDefault="00E94FD3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E94FD3" w:rsidRDefault="009F29ED">
            <w:pPr>
              <w:spacing w:line="276" w:lineRule="auto"/>
              <w:jc w:val="both"/>
            </w:pPr>
            <w:r>
              <w:rPr>
                <w:lang w:eastAsia="en-US"/>
              </w:rPr>
              <w:t>членов комиссии:</w:t>
            </w:r>
          </w:p>
          <w:p w:rsidR="00E94FD3" w:rsidRDefault="00E94FD3">
            <w:pPr>
              <w:spacing w:line="276" w:lineRule="auto"/>
              <w:ind w:firstLine="709"/>
              <w:rPr>
                <w:lang w:eastAsia="en-US"/>
              </w:rPr>
            </w:pPr>
          </w:p>
          <w:p w:rsidR="00E94FD3" w:rsidRDefault="00E94FD3">
            <w:pPr>
              <w:spacing w:line="276" w:lineRule="auto"/>
              <w:ind w:firstLine="709"/>
              <w:rPr>
                <w:lang w:eastAsia="en-US"/>
              </w:rPr>
            </w:pPr>
          </w:p>
          <w:p w:rsidR="00E94FD3" w:rsidRDefault="009F29ED">
            <w:pPr>
              <w:ind w:right="-391"/>
            </w:pPr>
            <w:r>
              <w:t xml:space="preserve">в присутствии </w:t>
            </w:r>
          </w:p>
          <w:p w:rsidR="00E94FD3" w:rsidRDefault="009F29ED">
            <w:pPr>
              <w:ind w:right="-391"/>
            </w:pPr>
            <w:r>
              <w:t xml:space="preserve">(с использованием </w:t>
            </w:r>
          </w:p>
          <w:p w:rsidR="00E94FD3" w:rsidRDefault="009F29ED">
            <w:pPr>
              <w:ind w:right="-391"/>
            </w:pPr>
            <w:r>
              <w:t>системы видео конференц-связи),</w:t>
            </w:r>
          </w:p>
        </w:tc>
        <w:tc>
          <w:tcPr>
            <w:tcW w:w="6272" w:type="dxa"/>
          </w:tcPr>
          <w:p w:rsidR="00E94FD3" w:rsidRDefault="00E94FD3">
            <w:pPr>
              <w:spacing w:line="276" w:lineRule="auto"/>
              <w:ind w:right="181" w:firstLine="709"/>
              <w:contextualSpacing/>
              <w:jc w:val="both"/>
              <w:rPr>
                <w:lang w:eastAsia="en-US"/>
              </w:rPr>
            </w:pPr>
          </w:p>
          <w:p w:rsidR="00E94FD3" w:rsidRDefault="009F29ED">
            <w:pPr>
              <w:tabs>
                <w:tab w:val="left" w:pos="4410"/>
              </w:tabs>
              <w:spacing w:line="276" w:lineRule="auto"/>
              <w:ind w:right="181"/>
              <w:contextualSpacing/>
              <w:jc w:val="both"/>
            </w:pPr>
            <w:r>
              <w:rPr>
                <w:lang w:eastAsia="en-US"/>
              </w:rPr>
              <w:t xml:space="preserve">- заместителя начальника отдела </w:t>
            </w:r>
            <w:r>
              <w:rPr>
                <w:kern w:val="0"/>
              </w:rPr>
              <w:t>&lt;…&gt;</w:t>
            </w:r>
            <w:r>
              <w:rPr>
                <w:lang w:eastAsia="en-US"/>
              </w:rPr>
              <w:t>,</w:t>
            </w:r>
          </w:p>
          <w:p w:rsidR="00E94FD3" w:rsidRDefault="009F29ED">
            <w:pPr>
              <w:tabs>
                <w:tab w:val="left" w:pos="4410"/>
              </w:tabs>
              <w:spacing w:line="276" w:lineRule="auto"/>
              <w:ind w:right="181"/>
              <w:contextualSpacing/>
              <w:jc w:val="both"/>
            </w:pPr>
            <w:r>
              <w:rPr>
                <w:lang w:eastAsia="en-US"/>
              </w:rPr>
              <w:t xml:space="preserve">- </w:t>
            </w:r>
            <w:r>
              <w:rPr>
                <w:lang w:eastAsia="en-US"/>
              </w:rPr>
              <w:t xml:space="preserve">специалиста-эксперта </w:t>
            </w:r>
            <w:r>
              <w:rPr>
                <w:kern w:val="0"/>
              </w:rPr>
              <w:t>&lt;…&gt;</w:t>
            </w:r>
            <w:r>
              <w:rPr>
                <w:kern w:val="0"/>
              </w:rPr>
              <w:t>,</w:t>
            </w:r>
          </w:p>
          <w:p w:rsidR="00E94FD3" w:rsidRDefault="00E94FD3">
            <w:pPr>
              <w:ind w:left="33" w:right="181"/>
              <w:contextualSpacing/>
              <w:jc w:val="both"/>
              <w:rPr>
                <w:i/>
              </w:rPr>
            </w:pPr>
          </w:p>
          <w:p w:rsidR="00E94FD3" w:rsidRDefault="009F29ED">
            <w:pPr>
              <w:ind w:left="33" w:right="181"/>
              <w:contextualSpacing/>
              <w:jc w:val="both"/>
            </w:pPr>
            <w:r>
              <w:rPr>
                <w:i/>
              </w:rPr>
              <w:t>- от ООО «Промышленное Оборудование»:</w:t>
            </w:r>
          </w:p>
          <w:p w:rsidR="00E94FD3" w:rsidRDefault="009F29ED">
            <w:pPr>
              <w:ind w:left="33" w:right="181"/>
              <w:contextualSpacing/>
              <w:jc w:val="both"/>
            </w:pPr>
            <w:r>
              <w:t xml:space="preserve">- </w:t>
            </w:r>
            <w:r>
              <w:rPr>
                <w:kern w:val="0"/>
              </w:rPr>
              <w:t>&lt;…&gt;</w:t>
            </w:r>
            <w:r>
              <w:t xml:space="preserve"> (доверенность № 4 от 21.08.2023),</w:t>
            </w:r>
          </w:p>
          <w:p w:rsidR="00E94FD3" w:rsidRDefault="00E94FD3">
            <w:pPr>
              <w:ind w:left="33" w:right="181"/>
              <w:contextualSpacing/>
              <w:jc w:val="both"/>
            </w:pPr>
          </w:p>
        </w:tc>
      </w:tr>
    </w:tbl>
    <w:p w:rsidR="00E94FD3" w:rsidRDefault="00E94FD3">
      <w:pPr>
        <w:ind w:firstLine="720"/>
        <w:jc w:val="both"/>
      </w:pPr>
    </w:p>
    <w:p w:rsidR="00E94FD3" w:rsidRDefault="009F29ED">
      <w:pPr>
        <w:ind w:firstLine="720"/>
        <w:jc w:val="both"/>
      </w:pPr>
      <w:r>
        <w:t xml:space="preserve">рассмотрев дело № 073/06/106-725/2023 по жалобе ООО «Промышленное Оборудование» (далее - заявитель) на действия комиссии по </w:t>
      </w:r>
      <w:r>
        <w:t>осуществлению закупки при проведении электронного аукциона № 0368300007623000057 (наименование объекта закупки – «Лампа ультрафиолетовая бактерицидная; Лампа ультрафиолетовая бактерицидная»; заказчик – Государственное учреждение здравоохранения Городская б</w:t>
      </w:r>
      <w:r>
        <w:t>ольница № 3 (далее – заказчик); начальная (максимальная) цена контракта – 117 600,00 руб., дата подведения итогов - 25.10.2023) по признакам нарушения Федерального закона от 05.04.2013 № 44-ФЗ «О контрактной системе в сфере закупок товаров, работ, услуг дл</w:t>
      </w:r>
      <w:r>
        <w:t xml:space="preserve">я обеспечения государственных и муниципальных нужд» (далее – </w:t>
      </w:r>
      <w:r>
        <w:rPr>
          <w:i/>
        </w:rPr>
        <w:t>Закон о контрактной системе</w:t>
      </w:r>
      <w:r>
        <w:t>) в порядке, предусмотренном главой 6 Закона о контрактной системе,</w:t>
      </w:r>
    </w:p>
    <w:p w:rsidR="00E94FD3" w:rsidRDefault="00E94FD3">
      <w:pPr>
        <w:jc w:val="center"/>
        <w:sectPr w:rsidR="00E94FD3">
          <w:footerReference w:type="default" r:id="rId7"/>
          <w:pgSz w:w="11906" w:h="16838"/>
          <w:pgMar w:top="1134" w:right="850" w:bottom="2082" w:left="1134" w:header="0" w:footer="1417" w:gutter="0"/>
          <w:cols w:space="720"/>
          <w:formProt w:val="0"/>
          <w:docGrid w:linePitch="312" w:charSpace="-6145"/>
        </w:sectPr>
      </w:pPr>
    </w:p>
    <w:p w:rsidR="00E94FD3" w:rsidRDefault="009F29ED">
      <w:pPr>
        <w:jc w:val="center"/>
      </w:pPr>
      <w:r>
        <w:rPr>
          <w:b/>
        </w:rPr>
        <w:lastRenderedPageBreak/>
        <w:t>УСТАНОВИЛА:</w:t>
      </w:r>
    </w:p>
    <w:p w:rsidR="00E94FD3" w:rsidRDefault="00E94FD3">
      <w:pPr>
        <w:jc w:val="center"/>
      </w:pPr>
    </w:p>
    <w:p w:rsidR="00E94FD3" w:rsidRDefault="009F29ED">
      <w:pPr>
        <w:ind w:firstLine="720"/>
        <w:jc w:val="both"/>
      </w:pPr>
      <w:r>
        <w:t xml:space="preserve">Вх. № 6726-ЭП/23 от 31.10.2023 (дата размещения в ЕИС – 30.10.2023) в Ульяновское УФАС России поступила жалоба ООО «Промышленное Оборудование» на действия комиссии по осуществлению </w:t>
      </w:r>
      <w:r>
        <w:t>закупки при проведении электронного аукциона № 0368300007623000057.</w:t>
      </w:r>
    </w:p>
    <w:p w:rsidR="00E94FD3" w:rsidRDefault="009F29ED">
      <w:pPr>
        <w:ind w:firstLine="720"/>
        <w:jc w:val="both"/>
      </w:pPr>
      <w:r>
        <w:t>Содержание жалобы составило указание на то, что в нарушение требований законодательства о контрактной системе, комиссия признала заявку победителя, предложившего товар не совместимый с мед</w:t>
      </w:r>
      <w:r>
        <w:t>ицинским оборудованием заказчика (облучатель-рециркулятор ОРУБн-3-3-«Кронт»), соответствующей требованиям извещения. Предложенные победителем лампы ультрафиолетовые бактерицидные не входят в перечень ламп, допустимых к использованию в оборудовании производ</w:t>
      </w:r>
      <w:r>
        <w:t>ства АО «КРОНТ-М».</w:t>
      </w:r>
    </w:p>
    <w:p w:rsidR="00E94FD3" w:rsidRDefault="009F29ED">
      <w:pPr>
        <w:tabs>
          <w:tab w:val="left" w:pos="-709"/>
        </w:tabs>
        <w:ind w:firstLine="720"/>
        <w:jc w:val="both"/>
        <w:outlineLvl w:val="1"/>
      </w:pPr>
      <w:r>
        <w:t>Вх. № 6786-ЭП/23 от 01.11.2023 и № 67797-ЭП/23 от 02.11.2023 в Ульяновское УФАС России от заказчика поступили возражения на жалобу, содержащие указание, в том числе на следующее.</w:t>
      </w:r>
    </w:p>
    <w:p w:rsidR="00E94FD3" w:rsidRDefault="009F29ED">
      <w:pPr>
        <w:tabs>
          <w:tab w:val="left" w:pos="-709"/>
        </w:tabs>
        <w:ind w:firstLine="720"/>
        <w:jc w:val="both"/>
        <w:outlineLvl w:val="1"/>
      </w:pPr>
      <w:r>
        <w:t>Документы, представленные в составе заявки победителя полн</w:t>
      </w:r>
      <w:r>
        <w:t xml:space="preserve">остью соответствуют требованиям извещения и оснований для отклонения заявки, предусмотренных частью 12 статьи 48 Закона о контрактной системе не усматривается. Победителем к поставке предложен товар «Лампа ультрафиолетовая бактерицидная </w:t>
      </w:r>
      <w:r>
        <w:rPr>
          <w:lang w:val="en-US"/>
        </w:rPr>
        <w:t>UVT</w:t>
      </w:r>
      <w:r>
        <w:t xml:space="preserve"> ДБ 30 </w:t>
      </w:r>
      <w:r>
        <w:rPr>
          <w:lang w:val="en-US"/>
        </w:rPr>
        <w:t>T</w:t>
      </w:r>
      <w:r>
        <w:t>8</w:t>
      </w:r>
      <w:r>
        <w:rPr>
          <w:lang w:val="en-US"/>
        </w:rPr>
        <w:t>L</w:t>
      </w:r>
      <w:r>
        <w:t xml:space="preserve"> </w:t>
      </w:r>
      <w:r>
        <w:rPr>
          <w:lang w:val="en-US"/>
        </w:rPr>
        <w:t>G</w:t>
      </w:r>
      <w:r>
        <w:t xml:space="preserve">13 </w:t>
      </w:r>
      <w:r>
        <w:rPr>
          <w:lang w:val="en-US"/>
        </w:rPr>
        <w:t>S</w:t>
      </w:r>
      <w:r>
        <w:rPr>
          <w:lang w:val="en-US"/>
        </w:rPr>
        <w:t>TANDARD</w:t>
      </w:r>
      <w:r>
        <w:t xml:space="preserve"> и UVT ДБ 15 T8L G13 STANDARD. В соответствии с информацией, указанной в заявке ИП Ф</w:t>
      </w:r>
      <w:r>
        <w:rPr>
          <w:kern w:val="0"/>
        </w:rPr>
        <w:t>&lt;…&gt;</w:t>
      </w:r>
      <w:r>
        <w:t>, характеристики предлагаемого товара отвечают требованиям, предъявленным заказчиком. В заявке продекларированы номера реестровых записей из реестра рос</w:t>
      </w:r>
      <w:r>
        <w:t>сийской радиоэлектронной продукции. Также согласно письму ООО «УФ ТЕХНОЛОГИИ» предложенные победителем лампы идентичны лампам, рекомендованным производителем «КРОНТ-М» для применения в облучателях и рециркуляторах типов ОРУБн, ОРУБп, ДЕЗАР. Учитывая изложе</w:t>
      </w:r>
      <w:r>
        <w:t xml:space="preserve">нное у единой комиссии отсутствовали основания для признания заявки несоответствующей. </w:t>
      </w:r>
    </w:p>
    <w:p w:rsidR="00E94FD3" w:rsidRDefault="00E94FD3">
      <w:pPr>
        <w:tabs>
          <w:tab w:val="left" w:pos="-709"/>
        </w:tabs>
        <w:ind w:firstLine="720"/>
        <w:jc w:val="both"/>
        <w:outlineLvl w:val="1"/>
      </w:pPr>
    </w:p>
    <w:p w:rsidR="00E94FD3" w:rsidRDefault="009F29ED">
      <w:pPr>
        <w:ind w:firstLine="720"/>
        <w:jc w:val="both"/>
      </w:pPr>
      <w:r>
        <w:t>На заседании Комиссии 03.11.2023, проводимом в дистанционном режиме, представитель заявителя поддержал доводы жалобы, в рассмотрении жалобы объявлялся перерыв до 14 ча</w:t>
      </w:r>
      <w:r>
        <w:t>с. 45 мин. 07.11.2023 для документального анализа материалов дела.</w:t>
      </w:r>
    </w:p>
    <w:p w:rsidR="00E94FD3" w:rsidRDefault="00E94FD3">
      <w:pPr>
        <w:ind w:firstLine="720"/>
        <w:jc w:val="both"/>
      </w:pPr>
    </w:p>
    <w:p w:rsidR="00E94FD3" w:rsidRDefault="009F29ED">
      <w:pPr>
        <w:tabs>
          <w:tab w:val="left" w:pos="-709"/>
        </w:tabs>
        <w:ind w:firstLine="720"/>
        <w:jc w:val="both"/>
        <w:outlineLvl w:val="1"/>
      </w:pPr>
      <w:r>
        <w:t>Комиссией Ульяновского УФАС России установлено следующее.</w:t>
      </w:r>
    </w:p>
    <w:p w:rsidR="00E94FD3" w:rsidRDefault="009F29ED">
      <w:pPr>
        <w:ind w:firstLine="720"/>
        <w:jc w:val="both"/>
      </w:pPr>
      <w:r>
        <w:t>В единой информационной системе в сфере закупок (</w:t>
      </w:r>
      <w:hyperlink r:id="rId8">
        <w:r>
          <w:rPr>
            <w:lang w:eastAsia="ru-RU" w:bidi="ar-SA"/>
          </w:rPr>
          <w:t>www.zakupki.gov.ru</w:t>
        </w:r>
      </w:hyperlink>
      <w:r>
        <w:t>) 13.10.2023 было</w:t>
      </w:r>
      <w:r>
        <w:t xml:space="preserve"> опубликовано извещение о проведении электронного аукциона </w:t>
      </w:r>
      <w:r>
        <w:rPr>
          <w:shd w:val="clear" w:color="auto" w:fill="FFFFFF"/>
        </w:rPr>
        <w:t>№ 0368300007623000057, наименование объекта закупки – «Лампа ультрафиолетовая бактерицидная; Лампа ультрафиолетовая бактерицидная» (начальная (максимальная) цена контракта – 117 600,00 руб.)</w:t>
      </w:r>
      <w:r>
        <w:t>.</w:t>
      </w:r>
    </w:p>
    <w:p w:rsidR="00E94FD3" w:rsidRDefault="009F29ED">
      <w:pPr>
        <w:ind w:firstLine="720"/>
        <w:jc w:val="both"/>
      </w:pPr>
      <w:r>
        <w:t>19.10.2023 в извещение о проведении закупки были внесены изменения.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rPr>
          <w:iCs/>
        </w:rPr>
        <w:t>Согласно протоколу подачи ценовых предложений от 23.10.2023 на участие в указанной закупке поступило 5 заявок, цена была снижена на 32,56 %.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rPr>
          <w:iCs/>
        </w:rPr>
        <w:t>В соответствии с протоколом подведения итогов о</w:t>
      </w:r>
      <w:r>
        <w:rPr>
          <w:iCs/>
        </w:rPr>
        <w:t>пределения поставщика (подрядчика, исполнителя) от 25.10.2023 заявки всех участников закупки были признаны соответствующими требованиям извещения и законодательства, определен победитель.</w:t>
      </w:r>
    </w:p>
    <w:p w:rsidR="00E94FD3" w:rsidRDefault="00E94FD3">
      <w:pPr>
        <w:tabs>
          <w:tab w:val="left" w:pos="993"/>
        </w:tabs>
        <w:ind w:firstLine="720"/>
        <w:jc w:val="both"/>
        <w:rPr>
          <w:iCs/>
        </w:rPr>
      </w:pPr>
    </w:p>
    <w:p w:rsidR="00E94FD3" w:rsidRDefault="009F29ED">
      <w:pPr>
        <w:tabs>
          <w:tab w:val="left" w:pos="993"/>
        </w:tabs>
        <w:ind w:firstLine="720"/>
        <w:jc w:val="both"/>
      </w:pPr>
      <w:r>
        <w:rPr>
          <w:iCs/>
        </w:rPr>
        <w:t>Рассмотрев представленные материалы и проведя в соответствии с подп</w:t>
      </w:r>
      <w:r>
        <w:rPr>
          <w:iCs/>
        </w:rPr>
        <w:t xml:space="preserve">унктом 1 части 15 статьи 99 Закона о контрактной системе внеплановую проверку, Комиссия Ульяновского УФАС России приняла решение признать жалобу </w:t>
      </w:r>
      <w:r>
        <w:t xml:space="preserve">ООО «Промышленное Оборудование» </w:t>
      </w:r>
      <w:r>
        <w:rPr>
          <w:iCs/>
        </w:rPr>
        <w:t>обоснованной. При этом Комиссия исходила из следующего.</w:t>
      </w:r>
    </w:p>
    <w:p w:rsidR="00E94FD3" w:rsidRDefault="00E94FD3">
      <w:pPr>
        <w:tabs>
          <w:tab w:val="left" w:pos="993"/>
        </w:tabs>
        <w:ind w:firstLine="720"/>
        <w:jc w:val="both"/>
        <w:rPr>
          <w:iCs/>
        </w:rPr>
      </w:pPr>
    </w:p>
    <w:p w:rsidR="00E94FD3" w:rsidRDefault="009F29ED">
      <w:pPr>
        <w:tabs>
          <w:tab w:val="left" w:pos="993"/>
        </w:tabs>
        <w:ind w:firstLine="720"/>
        <w:jc w:val="both"/>
      </w:pPr>
      <w:r>
        <w:t>Согласно подпункту «а»</w:t>
      </w:r>
      <w:r>
        <w:t xml:space="preserve">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</w:t>
      </w:r>
      <w:r>
        <w:t xml:space="preserve">учетом положений части 2 статьи 43 Закона о контрактной системе характеристики предлагаемого участником закупки товара, соответствующие </w:t>
      </w:r>
      <w:r>
        <w:lastRenderedPageBreak/>
        <w:t xml:space="preserve">показателям, установленным в описании объекта закупки в соответствии с частью 2 статьи 33 Закона о контрактной системе, </w:t>
      </w:r>
      <w:r>
        <w:t>товарный знак (при наличии у товара товарного знака).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Аналогичные требования изложены в пункте 5 приложения к извещению «Требования к содержанию, составу заявки на участие в закупке».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Согласно извещению о проведении электронного аукциона № 0368300007623000</w:t>
      </w:r>
      <w:r>
        <w:t>057 объектом закупки является поставка ламп ультрафиолетовых бактерицидных.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Приложением к извещению о проведении электронного аукциона № 0368300007623000057 является файл «Описание объекта закупки.docх», который включает в себя таблицу, содержащую требован</w:t>
      </w:r>
      <w:r>
        <w:t>ия к закупаемым товарам, в том числе показатели товаров, требования к значениям показателей и требования заказчика к указанию значений показателей участником закупки.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Так, позиция 1 предусматривает поставку товара «Лампа ультрафиолетовая бактерицидная 27.4</w:t>
      </w:r>
      <w:r>
        <w:t xml:space="preserve">0.15.120» с такой характеристикой как </w:t>
      </w:r>
      <w:r>
        <w:rPr>
          <w:b/>
          <w:i/>
        </w:rPr>
        <w:t xml:space="preserve">«Совместимость» - «Облучатель и облучатель-рециркулятор производства Армед CH 311-115, </w:t>
      </w:r>
      <w:r>
        <w:rPr>
          <w:b/>
          <w:i/>
          <w:u w:val="single"/>
        </w:rPr>
        <w:t>ОРУБн-3-3-«Кронт»</w:t>
      </w:r>
      <w:r>
        <w:rPr>
          <w:b/>
          <w:i/>
        </w:rPr>
        <w:t>, «Fhilips F15 T8» - «Значение не изменяется»</w:t>
      </w:r>
      <w:r>
        <w:t xml:space="preserve">. 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rPr>
          <w:u w:val="single"/>
        </w:rPr>
        <w:t>Таким образом, заказчиком установлено требование о поставке ламп ультрафиолетовых бактерицидных, которые являются совместимыми с облучателем-рециркулятором воздуха ОРУБн-3-3-«КРОНт» производства АО «КРОНТ-М», и значение данного показателя не подлежит измен</w:t>
      </w:r>
      <w:r>
        <w:rPr>
          <w:u w:val="single"/>
        </w:rPr>
        <w:t xml:space="preserve">ению участниками закупки при формировании своего предложения относительно характеристик предлагаемого к поставке товара. 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Пунктом 4 части 4 статьи 49 Закона о контрактной системе установлено, что не позднее одного часа с момента завершения процедуры подачи</w:t>
      </w:r>
      <w:r>
        <w:t xml:space="preserve"> ценовых предложений оператор электронной площадки направляет заказчику протокол, предусмотренный пунктом 2 части 4 статьи 49 Закона о контрактной системе, заявки на участие в закупке, а также предусмотренные пунктами 2 и 3 части 6 статьи 43 Закона о контр</w:t>
      </w:r>
      <w:r>
        <w:t>актной системе, информацию и документы участников закупки, подавших такие заявки.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Согласно подпункту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</w:t>
      </w:r>
      <w:r>
        <w:t>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</w:t>
      </w:r>
      <w:r>
        <w:t>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</w:t>
      </w:r>
      <w:r>
        <w:t>ки на участие в закупке по основаниям, предусмотренным пунктами 1 - 8 части 12 статьи 48 Закона о контрактной системе.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Пунктом 8 части 12 статьи 48 Закона о контрактной системе установлено, что при рассмотрении заявок на участие в закупке соответствующая з</w:t>
      </w:r>
      <w:r>
        <w:t>аявка подлежит отклонению в случаях выявления недостоверной информации, содержащейся в заявке на участие в закупке.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Так, в ходе анализа заявок на участие, а также документов и сведений, полученных в ходе проведения контрольного мероприятия Комиссией Ульяно</w:t>
      </w:r>
      <w:r>
        <w:t>вского УФАС России было установлено следующее.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 xml:space="preserve">В соответствии с протоколом подведения итогов определения поставщика (подрядчика, исполнителя) от 25.10.2023 заявка участника № 187 была признана соответствующей требованиям извещения и законодательства. 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 xml:space="preserve">При </w:t>
      </w:r>
      <w:r>
        <w:t>этом, в ходе анализа заявки на участие в аукционе участника № 187, а также проекта контракта, направленного заказчиком победителю для подписания, Комиссией Ульяновского УФАС России было установлено, что в составе заявки № 187 предложен к поставке товар «Ла</w:t>
      </w:r>
      <w:r>
        <w:t xml:space="preserve">мпа ультрафиолетовая бактерицидная UVT ДБ 30 T8L G13 STANDARD и UVT ДБ 15 T8L G13 STANDARD производства ООО «УФ ТЕХНОЛОГИИ». 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Из положений извещения № 0368300007623000057 следует, что заказчиком эксплуатируется медицинское изделие облучатель-рециркулятор в</w:t>
      </w:r>
      <w:r>
        <w:t xml:space="preserve">оздуха ОРУБн-3-3-«КРОНт» </w:t>
      </w:r>
      <w:r>
        <w:lastRenderedPageBreak/>
        <w:t>(регистрационное удостоверение ФСР 2011/11388) производства АО «КРОНТ-М» для которого закупаются предусмотренные описанием объекта закупки товары.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В силу части 3 статьи 38 Федерального закона от 21.11.2011 № 323-ФЗ «Об основах охра</w:t>
      </w:r>
      <w:r>
        <w:t>ны здоровья граждан в Российской Федерации» (далее - Закон об охране здоровья)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</w:t>
      </w:r>
      <w:r>
        <w:t>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государственный контроль, хранение, транспортировку, реализацию, мон</w:t>
      </w:r>
      <w:r>
        <w:t xml:space="preserve">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</w:t>
      </w:r>
      <w:r>
        <w:rPr>
          <w:i/>
        </w:rPr>
        <w:t>Производитель (изготовит</w:t>
      </w:r>
      <w:r>
        <w:rPr>
          <w:i/>
        </w:rPr>
        <w:t>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</w:t>
      </w:r>
      <w:r>
        <w:rPr>
          <w:i/>
        </w:rPr>
        <w:t>луживание, а также ремонт, утилизация или уничтожение медицинского изделия</w:t>
      </w:r>
      <w:r>
        <w:t xml:space="preserve">. 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Таким образом, использование медицинских изделий, в целях безопасности жизни и здоровья граждан, должно осуществляться в соответствии с инструкциями по эксплуатации производителей</w:t>
      </w:r>
      <w:r>
        <w:t xml:space="preserve"> и возможность эксплуатации медицинского оборудования одного производителя совместно с принадлежностями другого производителя определяется исключительно производителем медицинского оборудования. 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Согласно инструкции по эксплуатации облучателя-рециркулятора</w:t>
      </w:r>
      <w:r>
        <w:t xml:space="preserve"> воздуха ОРУБн-3-3-«КРОНт» (регистрационное удостоверение ФСР 2011/11388) ), которая размещена на сайте Федеральной службы по надзору в сфере здравоохранения (</w:t>
      </w:r>
      <w:hyperlink r:id="rId9">
        <w:r>
          <w:rPr>
            <w:lang w:eastAsia="ru-RU" w:bidi="ar-SA"/>
          </w:rPr>
          <w:t>https://roszdravnadzor.gov.ru</w:t>
        </w:r>
      </w:hyperlink>
      <w:r>
        <w:t>), источником излу</w:t>
      </w:r>
      <w:r>
        <w:t xml:space="preserve">чения в изделии служат бактерицидные ультрафиолетовые лампы мощностью 15 Вт типа: </w:t>
      </w:r>
      <w:r>
        <w:rPr>
          <w:lang w:val="en-US"/>
        </w:rPr>
        <w:t>TUV</w:t>
      </w:r>
      <w:r>
        <w:t xml:space="preserve"> 15</w:t>
      </w:r>
      <w:r>
        <w:rPr>
          <w:lang w:val="en-US"/>
        </w:rPr>
        <w:t>W</w:t>
      </w:r>
      <w:r>
        <w:t xml:space="preserve"> «</w:t>
      </w:r>
      <w:r>
        <w:rPr>
          <w:lang w:val="en-US"/>
        </w:rPr>
        <w:t>PHILIPS</w:t>
      </w:r>
      <w:r>
        <w:t xml:space="preserve">» или </w:t>
      </w:r>
      <w:r>
        <w:rPr>
          <w:lang w:val="en-US"/>
        </w:rPr>
        <w:t>LTS</w:t>
      </w:r>
      <w:r>
        <w:t>15</w:t>
      </w:r>
      <w:r>
        <w:rPr>
          <w:lang w:val="en-US"/>
        </w:rPr>
        <w:t>TB</w:t>
      </w:r>
      <w:r>
        <w:t xml:space="preserve"> (</w:t>
      </w:r>
      <w:r>
        <w:rPr>
          <w:lang w:val="en-US"/>
        </w:rPr>
        <w:t>G</w:t>
      </w:r>
      <w:r>
        <w:t>15</w:t>
      </w:r>
      <w:r>
        <w:rPr>
          <w:lang w:val="en-US"/>
        </w:rPr>
        <w:t>T</w:t>
      </w:r>
      <w:r>
        <w:t>8) «</w:t>
      </w:r>
      <w:r>
        <w:rPr>
          <w:lang w:val="en-US"/>
        </w:rPr>
        <w:t>LightTech</w:t>
      </w:r>
      <w:r>
        <w:t xml:space="preserve">», или </w:t>
      </w:r>
      <w:r>
        <w:rPr>
          <w:lang w:val="en-US"/>
        </w:rPr>
        <w:t>PURITEC</w:t>
      </w:r>
      <w:r>
        <w:t xml:space="preserve"> </w:t>
      </w:r>
      <w:r>
        <w:rPr>
          <w:lang w:val="en-US"/>
        </w:rPr>
        <w:t>HNS</w:t>
      </w:r>
      <w:r>
        <w:t xml:space="preserve"> 15</w:t>
      </w:r>
      <w:r>
        <w:rPr>
          <w:lang w:val="en-US"/>
        </w:rPr>
        <w:t>W</w:t>
      </w:r>
      <w:r>
        <w:t>55</w:t>
      </w:r>
      <w:r>
        <w:rPr>
          <w:lang w:val="en-US"/>
        </w:rPr>
        <w:t>VG</w:t>
      </w:r>
      <w:r>
        <w:t>13 25</w:t>
      </w:r>
      <w:r>
        <w:rPr>
          <w:lang w:val="en-US"/>
        </w:rPr>
        <w:t>X</w:t>
      </w:r>
      <w:r>
        <w:t>1 «</w:t>
      </w:r>
      <w:r>
        <w:rPr>
          <w:lang w:val="en-US"/>
        </w:rPr>
        <w:t>Osram</w:t>
      </w:r>
      <w:r>
        <w:t xml:space="preserve">» (может иметь сокращенное наименование PURITEC HNS 15W, HNS 15WG13 или HNS 15W </w:t>
      </w:r>
      <w:r>
        <w:rPr>
          <w:lang w:val="en-US"/>
        </w:rPr>
        <w:t>OFR</w:t>
      </w:r>
      <w:r>
        <w:t xml:space="preserve">), </w:t>
      </w:r>
      <w:r>
        <w:t xml:space="preserve">или </w:t>
      </w:r>
      <w:r>
        <w:rPr>
          <w:lang w:val="en-US"/>
        </w:rPr>
        <w:t>TIBERA</w:t>
      </w:r>
      <w:r>
        <w:t xml:space="preserve"> </w:t>
      </w:r>
      <w:r>
        <w:rPr>
          <w:lang w:val="en-US"/>
        </w:rPr>
        <w:t>UVC</w:t>
      </w:r>
      <w:r>
        <w:t>15</w:t>
      </w:r>
      <w:r>
        <w:rPr>
          <w:lang w:val="en-US"/>
        </w:rPr>
        <w:t>W</w:t>
      </w:r>
      <w:r>
        <w:t>/</w:t>
      </w:r>
      <w:r>
        <w:rPr>
          <w:lang w:val="en-US"/>
        </w:rPr>
        <w:t>G</w:t>
      </w:r>
      <w:r>
        <w:t>13 «</w:t>
      </w:r>
      <w:r>
        <w:rPr>
          <w:lang w:val="en-US"/>
        </w:rPr>
        <w:t>LEDVANCE</w:t>
      </w:r>
      <w:r>
        <w:t>», или ДБ15 ООО НИИИС им. А.Н. Лодыгина с номинальной величиной бактерицидного потока не менее 4,7 Вт (пункт 2.3). Именно с данными лампами указанные медицинские изделия прошли все необходимые испытания, установленные в норма</w:t>
      </w:r>
      <w:r>
        <w:t xml:space="preserve">тивных актах, с целью получения регистрационного удостоверения Росздравнадзора. </w:t>
      </w:r>
      <w:r>
        <w:rPr>
          <w:u w:val="single"/>
        </w:rPr>
        <w:t>Использование запасных частей и расходных материалов, в том числе, УФ ламп, не указанных в технической документации производителя АО «КРОНТ-М», то есть не прошедших испытания в</w:t>
      </w:r>
      <w:r>
        <w:rPr>
          <w:u w:val="single"/>
        </w:rPr>
        <w:t xml:space="preserve"> составе медицинского изделия, не допускается, о чем также сказано в инструкции об эксплуатации устройства (пункт 8.6).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Таким образом, производитель облучателя-рециркулятора воздуха ОРУБн-3-3-«КРОНт» (АО «КРОНТ-М») установил закрытый перечень ламп, которые</w:t>
      </w:r>
      <w:r>
        <w:t xml:space="preserve"> могут быть использованы в данном медицинском изделии, который не включает в себя лампы UVT ДБ 15 T8L G13 STANDARD производства ООО «УФ ТЕХНОЛОГИИ». 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Подтверждения совместимости ламп UVT ДБ 15 T8L G13 STANDARD» производства ООО «УФ ТЕХНОЛОГИИ» с облучателе</w:t>
      </w:r>
      <w:r>
        <w:t xml:space="preserve">м-рециркулятором воздуха ОРУБн-3-3-«КРОНт» от производителя данного медицинского изделия (АО «КРОНТ-М») в материалы дела также не представлено. 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 xml:space="preserve">Таким образом, предложенный к поставке товар в заявке № 187 не соответствует требованиям извещения № </w:t>
      </w:r>
      <w:r>
        <w:t>0368300007623000057, так как лампы UVT ДБ 15 T8L G13 STANDARD производства ООО «УФ ТЕХНОЛОГИИ» не являются совместимыми с облучателем-рециркулятором воздуха ОРУБн-3-3-«КРОНт».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Вместе с тем, в соответствии с протоколом подведения итогов от 25.10.2023 заявка</w:t>
      </w:r>
      <w:r>
        <w:t xml:space="preserve"> участника № 187 была признана соответствующей требованиям извещения и законодательства, что нарушает требования подпункта «а» пункта 1 части 5 статьи 49 Закона о контрактной системе и содержит признаки административного правонарушения, предусмотренного ча</w:t>
      </w:r>
      <w:r>
        <w:t xml:space="preserve">стью 2 </w:t>
      </w:r>
      <w:r>
        <w:lastRenderedPageBreak/>
        <w:t>статьи 7.30 КоАП РФ.</w:t>
      </w:r>
    </w:p>
    <w:p w:rsidR="00E94FD3" w:rsidRDefault="009F29ED">
      <w:pPr>
        <w:tabs>
          <w:tab w:val="left" w:pos="993"/>
        </w:tabs>
        <w:ind w:firstLine="720"/>
        <w:jc w:val="both"/>
      </w:pPr>
      <w:r>
        <w:t>Учитывая изложенное, жалоба ООО «Промышленное Оборудование» является обоснованной.</w:t>
      </w:r>
    </w:p>
    <w:p w:rsidR="00E94FD3" w:rsidRDefault="00E94FD3">
      <w:pPr>
        <w:tabs>
          <w:tab w:val="left" w:pos="993"/>
        </w:tabs>
        <w:ind w:firstLine="720"/>
        <w:jc w:val="both"/>
      </w:pPr>
    </w:p>
    <w:p w:rsidR="00E94FD3" w:rsidRDefault="009F29ED">
      <w:pPr>
        <w:ind w:firstLine="720"/>
        <w:jc w:val="both"/>
      </w:pPr>
      <w:r>
        <w:t xml:space="preserve">Комиссия, руководствуясь частью 1 статьи 2, пунктом 1 части 15, пункта 2 части 22 статьи 99, частью 8 статьи 106 Закона о контрактной системе, </w:t>
      </w:r>
    </w:p>
    <w:p w:rsidR="00E94FD3" w:rsidRDefault="00E94FD3">
      <w:pPr>
        <w:jc w:val="center"/>
      </w:pPr>
    </w:p>
    <w:p w:rsidR="00E94FD3" w:rsidRDefault="009F29ED">
      <w:pPr>
        <w:jc w:val="center"/>
      </w:pPr>
      <w:r>
        <w:rPr>
          <w:b/>
        </w:rPr>
        <w:t>РЕШИЛА</w:t>
      </w:r>
      <w:r>
        <w:t>:</w:t>
      </w:r>
    </w:p>
    <w:p w:rsidR="00E94FD3" w:rsidRDefault="00E94FD3">
      <w:pPr>
        <w:tabs>
          <w:tab w:val="left" w:pos="0"/>
          <w:tab w:val="left" w:pos="993"/>
        </w:tabs>
        <w:ind w:firstLine="709"/>
        <w:jc w:val="both"/>
      </w:pPr>
    </w:p>
    <w:p w:rsidR="00E94FD3" w:rsidRDefault="009F29ED">
      <w:pPr>
        <w:tabs>
          <w:tab w:val="left" w:pos="0"/>
          <w:tab w:val="left" w:pos="993"/>
        </w:tabs>
        <w:ind w:firstLine="709"/>
        <w:jc w:val="both"/>
      </w:pPr>
      <w:r>
        <w:t>1. Признать жалобу ООО «Промышленное Оборудование» обоснованной.</w:t>
      </w:r>
    </w:p>
    <w:p w:rsidR="00E94FD3" w:rsidRDefault="009F29ED">
      <w:pPr>
        <w:tabs>
          <w:tab w:val="left" w:pos="0"/>
          <w:tab w:val="left" w:pos="993"/>
        </w:tabs>
        <w:ind w:firstLine="709"/>
        <w:jc w:val="both"/>
      </w:pPr>
      <w:r>
        <w:t>2. Признать в действиях комиссии по осуществлению закупок нарушение подпункта «а» пункта 1 части 5 статьи 49 Закона о контрактной системе.</w:t>
      </w:r>
    </w:p>
    <w:p w:rsidR="00E94FD3" w:rsidRDefault="009F29ED">
      <w:pPr>
        <w:tabs>
          <w:tab w:val="left" w:pos="0"/>
          <w:tab w:val="left" w:pos="993"/>
        </w:tabs>
        <w:ind w:firstLine="709"/>
        <w:jc w:val="both"/>
      </w:pPr>
      <w:r>
        <w:t>3. Обязать комиссию по осуществлению закуп</w:t>
      </w:r>
      <w:r>
        <w:t>ок устранить допущенное нарушение путем отмены протокола подведения итогов от 25.10.2023 и повторного рассмотрения заявок, с учетом требований законодательства и принятого решения, на что выдать предписание.</w:t>
      </w:r>
    </w:p>
    <w:p w:rsidR="00E94FD3" w:rsidRDefault="009F29ED">
      <w:pPr>
        <w:tabs>
          <w:tab w:val="left" w:pos="0"/>
          <w:tab w:val="left" w:pos="993"/>
        </w:tabs>
        <w:ind w:firstLine="709"/>
        <w:jc w:val="both"/>
      </w:pPr>
      <w:r>
        <w:t>4. Передать материалы дела № 073/06/106-725/2023</w:t>
      </w:r>
      <w:r>
        <w:t xml:space="preserve"> уполномоченному должностному лицу Ульяновского УФАС России для рассмотрения вопроса о возбуждении дел об административных правонарушениях.</w:t>
      </w:r>
    </w:p>
    <w:p w:rsidR="00E94FD3" w:rsidRDefault="00E94FD3">
      <w:pPr>
        <w:tabs>
          <w:tab w:val="left" w:pos="0"/>
          <w:tab w:val="left" w:pos="993"/>
        </w:tabs>
        <w:jc w:val="both"/>
      </w:pPr>
    </w:p>
    <w:p w:rsidR="00E94FD3" w:rsidRDefault="00E94FD3">
      <w:pPr>
        <w:tabs>
          <w:tab w:val="left" w:pos="0"/>
          <w:tab w:val="left" w:pos="993"/>
        </w:tabs>
        <w:jc w:val="both"/>
      </w:pPr>
    </w:p>
    <w:p w:rsidR="00E94FD3" w:rsidRDefault="00E94FD3">
      <w:pPr>
        <w:tabs>
          <w:tab w:val="left" w:pos="0"/>
          <w:tab w:val="left" w:pos="993"/>
        </w:tabs>
        <w:jc w:val="both"/>
      </w:pPr>
    </w:p>
    <w:tbl>
      <w:tblPr>
        <w:tblW w:w="9600" w:type="dxa"/>
        <w:tblInd w:w="429" w:type="dxa"/>
        <w:tblLayout w:type="fixed"/>
        <w:tblLook w:val="0000" w:firstRow="0" w:lastRow="0" w:firstColumn="0" w:lastColumn="0" w:noHBand="0" w:noVBand="0"/>
      </w:tblPr>
      <w:tblGrid>
        <w:gridCol w:w="6375"/>
        <w:gridCol w:w="3225"/>
      </w:tblGrid>
      <w:tr w:rsidR="00E94FD3">
        <w:tc>
          <w:tcPr>
            <w:tcW w:w="6375" w:type="dxa"/>
          </w:tcPr>
          <w:p w:rsidR="00E94FD3" w:rsidRDefault="009F29ED">
            <w:pPr>
              <w:tabs>
                <w:tab w:val="left" w:pos="142"/>
              </w:tabs>
              <w:spacing w:line="276" w:lineRule="auto"/>
              <w:ind w:left="709"/>
              <w:jc w:val="both"/>
            </w:pPr>
            <w:r>
              <w:rPr>
                <w:lang w:eastAsia="en-US"/>
              </w:rPr>
              <w:t>Председатель комиссии:</w:t>
            </w:r>
          </w:p>
        </w:tc>
        <w:tc>
          <w:tcPr>
            <w:tcW w:w="3225" w:type="dxa"/>
          </w:tcPr>
          <w:p w:rsidR="00E94FD3" w:rsidRDefault="009F29ED">
            <w:pPr>
              <w:tabs>
                <w:tab w:val="left" w:pos="142"/>
              </w:tabs>
              <w:spacing w:line="276" w:lineRule="auto"/>
              <w:ind w:firstLine="425"/>
              <w:jc w:val="both"/>
            </w:pPr>
            <w:r>
              <w:rPr>
                <w:kern w:val="0"/>
              </w:rPr>
              <w:t>&lt;…&gt;</w:t>
            </w:r>
          </w:p>
        </w:tc>
      </w:tr>
      <w:tr w:rsidR="00E94FD3">
        <w:trPr>
          <w:trHeight w:val="1285"/>
        </w:trPr>
        <w:tc>
          <w:tcPr>
            <w:tcW w:w="6375" w:type="dxa"/>
          </w:tcPr>
          <w:p w:rsidR="00E94FD3" w:rsidRDefault="00E94FD3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E94FD3" w:rsidRDefault="009F29ED">
            <w:pPr>
              <w:tabs>
                <w:tab w:val="left" w:pos="142"/>
              </w:tabs>
              <w:spacing w:line="276" w:lineRule="auto"/>
              <w:ind w:left="709"/>
              <w:jc w:val="both"/>
            </w:pPr>
            <w:r>
              <w:rPr>
                <w:lang w:eastAsia="en-US"/>
              </w:rPr>
              <w:t>Члены комиссии:</w:t>
            </w:r>
          </w:p>
        </w:tc>
        <w:tc>
          <w:tcPr>
            <w:tcW w:w="3225" w:type="dxa"/>
          </w:tcPr>
          <w:p w:rsidR="00E94FD3" w:rsidRDefault="00E94FD3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E94FD3" w:rsidRDefault="009F29ED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>
              <w:rPr>
                <w:kern w:val="0"/>
              </w:rPr>
              <w:t>&lt;…&gt;</w:t>
            </w:r>
          </w:p>
          <w:p w:rsidR="00E94FD3" w:rsidRDefault="009F29ED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>
              <w:rPr>
                <w:kern w:val="0"/>
              </w:rPr>
              <w:t>&lt;…&gt;</w:t>
            </w:r>
          </w:p>
          <w:p w:rsidR="00E94FD3" w:rsidRDefault="00E94FD3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</w:tc>
      </w:tr>
    </w:tbl>
    <w:p w:rsidR="00E94FD3" w:rsidRDefault="009F29ED">
      <w:pPr>
        <w:tabs>
          <w:tab w:val="left" w:pos="142"/>
          <w:tab w:val="left" w:pos="9781"/>
        </w:tabs>
        <w:ind w:firstLine="720"/>
        <w:jc w:val="both"/>
      </w:pPr>
      <w:r>
        <w:t xml:space="preserve">Решение может быть </w:t>
      </w:r>
      <w:r>
        <w:t>обжаловано в судебном порядке в течение трех месяцев со дня его принятия.</w:t>
      </w:r>
    </w:p>
    <w:p w:rsidR="00E94FD3" w:rsidRDefault="009F29ED">
      <w:pPr>
        <w:tabs>
          <w:tab w:val="left" w:pos="142"/>
          <w:tab w:val="left" w:pos="9781"/>
        </w:tabs>
        <w:ind w:firstLine="720"/>
        <w:jc w:val="both"/>
      </w:pPr>
      <w:r>
        <w:t xml:space="preserve">Примечание: За невыполнение в установленный срок законного предписания антимонопольного органа частью 7 статьи 19.5. Кодекса Российской Федерации об административных правонарушениях </w:t>
      </w:r>
      <w:r>
        <w:t>установлена административная ответственность.  Привлечение к ответственности,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p w:rsidR="00E94FD3" w:rsidRDefault="00E94FD3">
      <w:pPr>
        <w:jc w:val="center"/>
      </w:pPr>
    </w:p>
    <w:sectPr w:rsidR="00E94FD3">
      <w:footerReference w:type="default" r:id="rId10"/>
      <w:pgSz w:w="11906" w:h="16838"/>
      <w:pgMar w:top="1134" w:right="850" w:bottom="1353" w:left="1134" w:header="0" w:footer="96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F29ED">
      <w:r>
        <w:separator/>
      </w:r>
    </w:p>
  </w:endnote>
  <w:endnote w:type="continuationSeparator" w:id="0">
    <w:p w:rsidR="00000000" w:rsidRDefault="009F2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FD3" w:rsidRDefault="009F29ED">
    <w:pPr>
      <w:pStyle w:val="aa"/>
      <w:jc w:val="right"/>
    </w:pPr>
    <w:r>
      <w:rPr>
        <w:noProof/>
        <w:lang w:eastAsia="ru-RU" w:bidi="ar-SA"/>
      </w:rPr>
      <w:drawing>
        <wp:anchor distT="0" distB="0" distL="0" distR="0" simplePos="0" relativeHeight="11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94FD3" w:rsidRDefault="009F29ED">
    <w:pPr>
      <w:pStyle w:val="aa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0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1511935" cy="215900"/>
              <wp:effectExtent l="0" t="0" r="0" b="0"/>
              <wp:wrapSquare wrapText="bothSides"/>
              <wp:docPr id="6" name="Project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E94FD3" w:rsidRDefault="009F29ED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2023-5552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rojectNumber" o:spid="_x0000_s1029" type="#_x0000_t202" style="position:absolute;left:0;text-align:left;margin-left:0;margin-top:15.6pt;width:119.05pt;height:17pt;z-index:1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" o:allowincell="f" stroked="f">
              <v:textbox inset="0,0,0,0">
                <w:txbxContent>
                  <w:p w:rsidR="00E94FD3" w:rsidRDefault="009F29ED">
                    <w:pPr>
                      <w:pStyle w:val="a8"/>
                    </w:pPr>
                    <w:r>
                      <w:fldChar w:fldCharType="begin"/>
                    </w:r>
                    <w:r>
                      <w:instrText xml:space="preserve"> DOCVARIABLE ProjectNumber </w:instrText>
                    </w:r>
                    <w:r>
                      <w:fldChar w:fldCharType="separate"/>
                    </w:r>
                    <w:r>
                      <w:t>2023-5552</w:t>
                    </w:r>
                    <w: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FD3" w:rsidRDefault="009F29ED">
    <w:pPr>
      <w:pStyle w:val="a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E94FD3" w:rsidRDefault="009F29ED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2023-5552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pdTextFrame" o:spid="_x0000_s1030" type="#_x0000_t202" style="position:absolute;left:0;text-align:left;margin-left:0;margin-top:.05pt;width:136.05pt;height:17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" o:allowincell="f" stroked="f">
              <v:textbox inset="0,0,0,0">
                <w:txbxContent>
                  <w:p w:rsidR="00E94FD3" w:rsidRDefault="009F29ED">
                    <w:pPr>
                      <w:pStyle w:val="a8"/>
                    </w:pPr>
                    <w:r>
                      <w:fldChar w:fldCharType="begin"/>
                    </w:r>
                    <w:r>
                      <w:instrText xml:space="preserve"> DOCVARIABLE ProjectNumber </w:instrText>
                    </w:r>
                    <w:r>
                      <w:fldChar w:fldCharType="separate"/>
                    </w:r>
                    <w:r>
                      <w:t>2023-5552</w:t>
                    </w:r>
                    <w: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F29ED">
      <w:r>
        <w:separator/>
      </w:r>
    </w:p>
  </w:footnote>
  <w:footnote w:type="continuationSeparator" w:id="0">
    <w:p w:rsidR="00000000" w:rsidRDefault="009F29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docVars>
    <w:docVar w:name="Annotation" w:val="Решение по делу № 073/06/106-725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Государственное учреждение здравоохранения &quot;Городская больница № 3&quot;_x000a_432044, г. Ульяновск, ул. Хрустальная, д. 3 Б_x000a_economgb3@mail.ru; ofisgb@mail.ru_x000a__x000a_Общество с ограниченной ответственностью &quot;ПРОМЫШЛЕННОЕ ОБОРУДОВАНИЕ&quot;_x000a_603167, г. Нижний Новгород, ул. Гордеевская, д. 56, пом. 177_x000a_603028, г. Нижний Новгород, Комсомольское шоссе, д. 5, оф. 104_x000a_isaev.75@mail.ru; promsnabnn@bk.ru"/>
    <w:docVar w:name="PredsedatelDolj" w:val="Заместитель руководителя управления - начальник отдела"/>
    <w:docVar w:name="PredsedatelIOF" w:val="И.И. Спиридонов"/>
    <w:docVar w:name="ProjectNumber" w:val="2023-5552"/>
  </w:docVars>
  <w:rsids>
    <w:rsidRoot w:val="00E94FD3"/>
    <w:rsid w:val="009F29ED"/>
    <w:rsid w:val="00E9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6E29BF-303F-47D4-BD7E-B0F0B493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врезки"/>
    <w:basedOn w:val="a4"/>
    <w:qFormat/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@Arial Unicode MS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roszdravnadzor.gov.ru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2221</Words>
  <Characters>12661</Characters>
  <Application>Microsoft Office Word</Application>
  <DocSecurity>0</DocSecurity>
  <Lines>105</Lines>
  <Paragraphs>29</Paragraphs>
  <ScaleCrop>false</ScaleCrop>
  <Company/>
  <LinksUpToDate>false</LinksUpToDate>
  <CharactersWithSpaces>14853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29</cp:revision>
  <cp:lastPrinted>2019-12-05T19:08:00Z</cp:lastPrinted>
  <dcterms:created xsi:type="dcterms:W3CDTF">2019-12-05T18:13:00Z</dcterms:created>
  <dcterms:modified xsi:type="dcterms:W3CDTF">2023-11-09T09:51:00Z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/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