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Заказчик: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МКУ «ЕДИНАЯ СЛУЖБА ЗАКАЗЧИКА»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ВСЕВОЛОЖСКОГО РАЙОНА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ЛЕНИНГРАДСКОЙ ОБЛАСТИ,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esz_vs@mail.ru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Уполномоченный орган: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АМО «ВСЕВОЛОЖСКИЙ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МУНИЦИПАЛЬНЫЙ РАЙОН»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ЛЕНИНГРАДСКОЙ ОБЛАСТИ,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skp@vsevreg.ru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ИП Коваленко М.С.,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ООО АГЗ РТ, 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ED4B33">
        <w:rPr>
          <w:rFonts w:ascii="Times New Roman" w:hAnsi="Times New Roman" w:cs="Times New Roman"/>
          <w:sz w:val="26"/>
          <w:szCs w:val="26"/>
        </w:rPr>
        <w:t>agzrt@tatar.ru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Номер извещения </w:t>
      </w:r>
      <w:r w:rsidRPr="00ED4B33">
        <w:rPr>
          <w:rFonts w:ascii="Times New Roman" w:hAnsi="Times New Roman" w:cs="Times New Roman"/>
          <w:sz w:val="26"/>
          <w:szCs w:val="26"/>
        </w:rPr>
        <w:t>0145300005223000512</w:t>
      </w: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ED4B33" w:rsidRDefault="00ED4B33" w:rsidP="00ED4B3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ED4B33" w:rsidRDefault="00ED4B33" w:rsidP="00ED4B3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/>
          <w:sz w:val="26"/>
          <w:szCs w:val="26"/>
        </w:rPr>
        <w:t>Ленинградского</w:t>
      </w:r>
      <w:proofErr w:type="gramEnd"/>
      <w:r>
        <w:rPr>
          <w:rFonts w:ascii="Times New Roman" w:hAnsi="Times New Roman"/>
          <w:sz w:val="26"/>
          <w:szCs w:val="26"/>
        </w:rPr>
        <w:t xml:space="preserve"> УФАС России</w:t>
      </w:r>
    </w:p>
    <w:p w:rsidR="00ED4B33" w:rsidRDefault="00ED4B33" w:rsidP="00ED4B3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 контролю в сфере закупок по делу </w:t>
      </w:r>
    </w:p>
    <w:p w:rsidR="00ED4B33" w:rsidRDefault="00ED4B33" w:rsidP="00ED4B3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№ </w:t>
      </w:r>
      <w:r w:rsidRPr="00ED4B33">
        <w:rPr>
          <w:rFonts w:ascii="Times New Roman" w:hAnsi="Times New Roman"/>
          <w:sz w:val="26"/>
          <w:szCs w:val="26"/>
        </w:rPr>
        <w:t>047/06/42-3572/2023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D4B33" w:rsidRDefault="00ED4B33" w:rsidP="00ED4B3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widowControl w:val="0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07 ноября 2023 года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                                                Санкт-Петербург</w:t>
      </w:r>
    </w:p>
    <w:p w:rsidR="00ED4B33" w:rsidRDefault="00ED4B33" w:rsidP="00ED4B33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</w:t>
      </w:r>
      <w:proofErr w:type="gramStart"/>
      <w:r>
        <w:rPr>
          <w:rFonts w:ascii="Times New Roman" w:hAnsi="Times New Roman"/>
          <w:sz w:val="26"/>
          <w:szCs w:val="26"/>
        </w:rPr>
        <w:t>Ленинградского</w:t>
      </w:r>
      <w:proofErr w:type="gramEnd"/>
      <w:r>
        <w:rPr>
          <w:rFonts w:ascii="Times New Roman" w:hAnsi="Times New Roman"/>
          <w:sz w:val="26"/>
          <w:szCs w:val="26"/>
        </w:rPr>
        <w:t xml:space="preserve"> УФАС России по контролю в сфере закупок (далее - Комиссия) в составе:</w:t>
      </w:r>
    </w:p>
    <w:p w:rsidR="00ED4B33" w:rsidRDefault="00ED4B33" w:rsidP="00ED4B3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присутствии представителей по доверенности:</w:t>
      </w:r>
    </w:p>
    <w:p w:rsidR="00ED4B33" w:rsidRDefault="00ED4B33" w:rsidP="00ED4B3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отсутствие представителей от Заявителя, извещенного о времени и месте заседания Комиссии надлежащим образом,</w:t>
      </w:r>
    </w:p>
    <w:p w:rsidR="00ED4B33" w:rsidRDefault="00ED4B33" w:rsidP="00ED4B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sz w:val="26"/>
          <w:szCs w:val="26"/>
          <w:bdr w:val="none" w:sz="0" w:space="0" w:color="auto" w:frame="1"/>
          <w:lang w:eastAsia="en-US"/>
        </w:rPr>
      </w:pPr>
      <w:r>
        <w:rPr>
          <w:rFonts w:ascii="Times New Roman" w:eastAsia="Calibri" w:hAnsi="Times New Roman" w:cs="Times New Roman"/>
          <w:color w:val="auto"/>
          <w:sz w:val="26"/>
          <w:szCs w:val="26"/>
          <w:bdr w:val="none" w:sz="0" w:space="0" w:color="auto" w:frame="1"/>
          <w:lang w:eastAsia="en-US"/>
        </w:rPr>
        <w:t>заседание проводилось посредством системы видеоконференцсвязи в соответствии с письмом ФАС России от 29 мая 2020 г. № МЕ/45732/20 «О рассмотрении жалоб, проведении внеплановых проверок, рассмотрении обращений о включении сведений в отношении участников закупок, поставщиков (подрядчиков, исполнителей) в реестр недобросовестных поставщиков»,</w:t>
      </w:r>
    </w:p>
    <w:p w:rsidR="00ED4B33" w:rsidRDefault="00ED4B33" w:rsidP="00ED4B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color w:val="auto"/>
          <w:sz w:val="26"/>
          <w:szCs w:val="26"/>
          <w:bdr w:val="none" w:sz="0" w:space="0" w:color="auto" w:frame="1"/>
        </w:rPr>
        <w:t xml:space="preserve">рассмотрев в соответствии с Положением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 w:cs="Times New Roman"/>
          <w:color w:val="auto"/>
          <w:sz w:val="26"/>
          <w:szCs w:val="26"/>
          <w:bdr w:val="none" w:sz="0" w:space="0" w:color="auto" w:frame="1"/>
        </w:rPr>
        <w:lastRenderedPageBreak/>
        <w:t>муниципальных нужд» (далее – Закон о контрактной системе) внеплановой</w:t>
      </w:r>
      <w:proofErr w:type="gramEnd"/>
      <w:r>
        <w:rPr>
          <w:rFonts w:ascii="Times New Roman" w:eastAsia="Times New Roman" w:hAnsi="Times New Roman" w:cs="Times New Roman"/>
          <w:color w:val="auto"/>
          <w:sz w:val="26"/>
          <w:szCs w:val="26"/>
          <w:bdr w:val="none" w:sz="0" w:space="0" w:color="auto" w:frame="1"/>
        </w:rPr>
        <w:t xml:space="preserve"> проверки</w:t>
      </w:r>
    </w:p>
    <w:p w:rsidR="00ED4B33" w:rsidRDefault="00ED4B33" w:rsidP="00ED4B3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УСТАНОВИЛА:</w:t>
      </w:r>
    </w:p>
    <w:p w:rsidR="00ED4B33" w:rsidRDefault="00ED4B33" w:rsidP="00ED4B3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hAnsi="Times New Roman"/>
          <w:sz w:val="26"/>
          <w:szCs w:val="26"/>
        </w:rPr>
        <w:t>В Ленинградское УФАС России поступила жалоба Заявителя (</w:t>
      </w:r>
      <w:proofErr w:type="spellStart"/>
      <w:r>
        <w:rPr>
          <w:rFonts w:ascii="Times New Roman" w:hAnsi="Times New Roman"/>
          <w:sz w:val="26"/>
          <w:szCs w:val="26"/>
        </w:rPr>
        <w:t>вх</w:t>
      </w:r>
      <w:proofErr w:type="spellEnd"/>
      <w:r>
        <w:rPr>
          <w:rFonts w:ascii="Times New Roman" w:hAnsi="Times New Roman"/>
          <w:sz w:val="26"/>
          <w:szCs w:val="26"/>
        </w:rPr>
        <w:t>. №</w:t>
      </w:r>
      <w:r>
        <w:t xml:space="preserve"> </w:t>
      </w:r>
      <w:r w:rsidRPr="00ED4B33">
        <w:rPr>
          <w:rFonts w:ascii="Times New Roman" w:hAnsi="Times New Roman"/>
          <w:sz w:val="26"/>
          <w:szCs w:val="26"/>
        </w:rPr>
        <w:t>12962-ИП/23</w:t>
      </w:r>
      <w:r>
        <w:rPr>
          <w:rFonts w:ascii="Times New Roman" w:hAnsi="Times New Roman"/>
          <w:sz w:val="26"/>
          <w:szCs w:val="26"/>
        </w:rPr>
        <w:t xml:space="preserve"> от 30.10.2023) на положения извещения при проведении открытого конкурса в электронной форме «</w:t>
      </w:r>
      <w:r w:rsidRPr="00ED4B33">
        <w:rPr>
          <w:rFonts w:ascii="Times New Roman" w:hAnsi="Times New Roman"/>
          <w:sz w:val="26"/>
          <w:szCs w:val="26"/>
        </w:rPr>
        <w:t>Выполнение работ по ремонту ИТП с узлом учета тепловой энергии в здании муниципального общеобразовательного учреждения «Средняя общеобразовательная школа с углубленным изучением отдельных предметов №2» г. Всеволожска (МОУ «СОШ №2» г. Всеволожска) по адресу: 188640, Ленинградская область, г</w:t>
      </w:r>
      <w:r>
        <w:rPr>
          <w:rFonts w:ascii="Times New Roman" w:hAnsi="Times New Roman"/>
          <w:sz w:val="26"/>
          <w:szCs w:val="26"/>
        </w:rPr>
        <w:t>. Всеволожск</w:t>
      </w:r>
      <w:proofErr w:type="gramEnd"/>
      <w:r>
        <w:rPr>
          <w:rFonts w:ascii="Times New Roman" w:hAnsi="Times New Roman"/>
          <w:sz w:val="26"/>
          <w:szCs w:val="26"/>
        </w:rPr>
        <w:t>, ул. Межевая, д.10».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Извещение о проведении открытого конкурса в электронной форме размещено 13.10.2023 на официальном сайте единой информационной системы в сфере закупок в информационно-телекоммуникационной сети «Интернет» www.zakupki.gov.ru (далее – ЕИС).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Начальная (максимальная) цена контракта  - </w:t>
      </w:r>
      <w:r w:rsidRPr="00ED4B33">
        <w:rPr>
          <w:rFonts w:ascii="Times New Roman" w:hAnsi="Times New Roman"/>
          <w:sz w:val="26"/>
          <w:szCs w:val="26"/>
        </w:rPr>
        <w:t>8 499 010,00</w:t>
      </w:r>
      <w:r>
        <w:rPr>
          <w:rFonts w:ascii="Times New Roman" w:hAnsi="Times New Roman"/>
          <w:sz w:val="26"/>
          <w:szCs w:val="26"/>
        </w:rPr>
        <w:t xml:space="preserve"> рублей.</w:t>
      </w:r>
    </w:p>
    <w:p w:rsidR="00ED4B33" w:rsidRDefault="00ED4B33" w:rsidP="00ED4B3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Рассмотрев представленные документы, Комиссия пришла к следующим выводам.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В силу части 1 статьи 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– законодательство Российской Федерации о контрактной системе в сфере закупок) основывается</w:t>
      </w:r>
      <w:proofErr w:type="gramEnd"/>
      <w:r>
        <w:rPr>
          <w:rFonts w:ascii="Times New Roman" w:hAnsi="Times New Roman"/>
          <w:sz w:val="26"/>
          <w:szCs w:val="26"/>
        </w:rPr>
        <w:t xml:space="preserve">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Часть 1 статьи 8 Закона о контрактной системе гласит,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</w:t>
      </w:r>
      <w:r>
        <w:rPr>
          <w:rFonts w:ascii="Times New Roman" w:hAnsi="Times New Roman"/>
          <w:sz w:val="26"/>
          <w:szCs w:val="26"/>
        </w:rPr>
        <w:lastRenderedPageBreak/>
        <w:t>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Согласно части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(далее - приглашение) ограниченному кругу лиц, которые способны осуществить поставки товаров, выполнение работ, оказание услуг, являющихся объектами закупок. 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Конкурентными способами определения поставщиков являются, в том числе конкурсы (открытый конкурс в электронной форме (далее - электронный конкурс), закрытый конкурс, закрытый конкурс в электронной форме (далее - закрытый электронный конкурс) (часть 2 статьи 24 Закона о контрактной системе). </w:t>
      </w:r>
      <w:proofErr w:type="gramEnd"/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Частью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5) проект контракта;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№ 111-ФЗ «Об инвестировании сре</w:t>
      </w:r>
      <w:proofErr w:type="gramStart"/>
      <w:r>
        <w:rPr>
          <w:rFonts w:ascii="Times New Roman" w:hAnsi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/>
          <w:sz w:val="26"/>
          <w:szCs w:val="26"/>
        </w:rPr>
        <w:t>я финансирования накопительной пенсии в Российской Федерации»;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№ 117-ФЗ «О </w:t>
      </w:r>
      <w:proofErr w:type="spellStart"/>
      <w:r>
        <w:rPr>
          <w:rFonts w:ascii="Times New Roman" w:hAnsi="Times New Roman"/>
          <w:sz w:val="26"/>
          <w:szCs w:val="26"/>
        </w:rPr>
        <w:t>накопительно</w:t>
      </w:r>
      <w:proofErr w:type="spellEnd"/>
      <w:r>
        <w:rPr>
          <w:rFonts w:ascii="Times New Roman" w:hAnsi="Times New Roman"/>
          <w:sz w:val="26"/>
          <w:szCs w:val="26"/>
        </w:rPr>
        <w:t>-ипотечной системе жилищного обеспечения военнослужащих»;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  <w:proofErr w:type="gramEnd"/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>
        <w:rPr>
          <w:rFonts w:ascii="Times New Roman" w:hAnsi="Times New Roman"/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>
        <w:rPr>
          <w:rFonts w:ascii="Times New Roman" w:hAnsi="Times New Roman"/>
          <w:sz w:val="26"/>
          <w:szCs w:val="26"/>
        </w:rPr>
        <w:t xml:space="preserve"> указанные машины и оборудование.  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пункту 2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руководствоваться, в том числе следующими правилами: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</w:t>
      </w:r>
      <w:proofErr w:type="gramEnd"/>
      <w:r>
        <w:rPr>
          <w:rFonts w:ascii="Times New Roman" w:hAnsi="Times New Roman"/>
          <w:sz w:val="26"/>
          <w:szCs w:val="26"/>
        </w:rPr>
        <w:t xml:space="preserve">, </w:t>
      </w:r>
      <w:proofErr w:type="gramStart"/>
      <w:r>
        <w:rPr>
          <w:rFonts w:ascii="Times New Roman" w:hAnsi="Times New Roman"/>
          <w:sz w:val="26"/>
          <w:szCs w:val="26"/>
        </w:rPr>
        <w:t>связанных</w:t>
      </w:r>
      <w:proofErr w:type="gramEnd"/>
      <w:r>
        <w:rPr>
          <w:rFonts w:ascii="Times New Roman" w:hAnsi="Times New Roman"/>
          <w:sz w:val="26"/>
          <w:szCs w:val="26"/>
        </w:rPr>
        <w:t xml:space="preserve">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</w:t>
      </w:r>
      <w:r>
        <w:rPr>
          <w:rFonts w:ascii="Times New Roman" w:hAnsi="Times New Roman"/>
          <w:sz w:val="26"/>
          <w:szCs w:val="26"/>
        </w:rPr>
        <w:lastRenderedPageBreak/>
        <w:t>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соответствии</w:t>
      </w:r>
      <w:proofErr w:type="gramEnd"/>
      <w:r>
        <w:rPr>
          <w:rFonts w:ascii="Times New Roman" w:hAnsi="Times New Roman"/>
          <w:sz w:val="26"/>
          <w:szCs w:val="26"/>
        </w:rPr>
        <w:t xml:space="preserve"> с настоящим Федеральным законом.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Пунктом 4 части 2 статьи 42 Закона о контрактной системе определено, что извещение об осуществлении закупки, если иное не предусмотрено настоящим Федеральным законом, должно содержать порядок рассмотрения и оценки заявок на участие в конкурсах в соответствии с настоящим Федеральным законом. Порядок рассмотрения и оценки заявок на участие в конкурсе размещается заказчиками в виде электронного документа.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части 1 статьи 32 Закона о контрактной системе для оценки заявок участников закупки заказчик использует следующие критерии: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 цена контракта, сумма цен единиц товара, работы, услуги;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 расходы на эксплуатацию и ремонт товаров, использование результатов работ;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3) качественные, функциональные и экологические характеристики объекта закупки;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Частью 8 той же статьи предусмотрено, 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Постановление Правительства РФ от 31.12.2021 №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№ 2604) установлен порядок оценки заявок</w:t>
      </w:r>
      <w:proofErr w:type="gramEnd"/>
      <w:r>
        <w:rPr>
          <w:rFonts w:ascii="Times New Roman" w:hAnsi="Times New Roman"/>
          <w:sz w:val="26"/>
          <w:szCs w:val="26"/>
        </w:rPr>
        <w:t xml:space="preserve"> участников открытого конкурса в электронной форме.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Так, следуя пункту 3 Постановления Правительства № 2604, законодателем установлены следующие критерии оценки: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цена контракта, сумма цен единиц товара, работы, услуги;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расходы;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в) характеристики объекта закупки;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г) квалификация участников закупки.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Согласно доводам жалобы Заявитель указывает, что, по его мнению, Заказчиком установлены требования к составу заявки на участие в электронном конкурсе, нарушающие положения Закона о контрактной системе и Постановления Правительства № 2604.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Комиссией установлено, что извещением об осуществлении закупки предусмотрены требования к составу заявки (Приложение № 3.1 к извещению), предусматривающие следующее положение к форме подачи заявки: </w:t>
      </w:r>
    </w:p>
    <w:p w:rsidR="00ED4B33" w:rsidRP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В качестве документов, подтверждающих наличие у участника закупки опыта, предлагаемого к оценке в рамках детализирующего показателя оценки «Наибольшая цена одного из исполненных участником закупки договоров» показателя оценки «Наличие у участников закупки опыта работы, связанного с предметом контракта» критерия оценки «Квалификация участников закупки», связанного с предметом контракта, участник закупки предоставляет в составе заявки следующие документы:</w:t>
      </w:r>
      <w:proofErr w:type="gramEnd"/>
    </w:p>
    <w:p w:rsidR="00ED4B33" w:rsidRP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D4B33">
        <w:rPr>
          <w:rFonts w:ascii="Times New Roman" w:hAnsi="Times New Roman"/>
          <w:sz w:val="26"/>
          <w:szCs w:val="26"/>
          <w:shd w:val="clear" w:color="auto" w:fill="FFFFFF"/>
        </w:rPr>
        <w:t>—</w:t>
      </w:r>
      <w:r w:rsidRPr="00ED4B33">
        <w:rPr>
          <w:rFonts w:ascii="Times New Roman" w:hAnsi="Times New Roman"/>
          <w:sz w:val="26"/>
          <w:szCs w:val="26"/>
          <w:shd w:val="clear" w:color="auto" w:fill="FFFFFF"/>
        </w:rPr>
        <w:tab/>
        <w:t>копии исполненного контракта (договора), включая все приложения к такому контракту (договору) и дополнительные соглашения (при наличии);</w:t>
      </w:r>
    </w:p>
    <w:p w:rsidR="00ED4B33" w:rsidRP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D4B33">
        <w:rPr>
          <w:rFonts w:ascii="Times New Roman" w:hAnsi="Times New Roman"/>
          <w:sz w:val="26"/>
          <w:szCs w:val="26"/>
          <w:shd w:val="clear" w:color="auto" w:fill="FFFFFF"/>
        </w:rPr>
        <w:t>—</w:t>
      </w:r>
      <w:r w:rsidRPr="00ED4B33">
        <w:rPr>
          <w:rFonts w:ascii="Times New Roman" w:hAnsi="Times New Roman"/>
          <w:sz w:val="26"/>
          <w:szCs w:val="26"/>
          <w:shd w:val="clear" w:color="auto" w:fill="FFFFFF"/>
        </w:rPr>
        <w:tab/>
        <w:t>копии актов о приемке выполненных работ, содержащих все обязательные реквизиты, установленные частью 2 статьи 9 Федерального закона «О бухгалтерском учете», и подтверждающих стоимость исполненного контракта (договора) (за исключением случая, если застройщик является лицом, осуществляющим строительство);</w:t>
      </w:r>
    </w:p>
    <w:p w:rsidR="00ED4B33" w:rsidRP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D4B33">
        <w:rPr>
          <w:rFonts w:ascii="Times New Roman" w:hAnsi="Times New Roman"/>
          <w:sz w:val="26"/>
          <w:szCs w:val="26"/>
          <w:shd w:val="clear" w:color="auto" w:fill="FFFFFF"/>
        </w:rPr>
        <w:t>—</w:t>
      </w:r>
      <w:r w:rsidRPr="00ED4B33">
        <w:rPr>
          <w:rFonts w:ascii="Times New Roman" w:hAnsi="Times New Roman"/>
          <w:sz w:val="26"/>
          <w:szCs w:val="26"/>
          <w:shd w:val="clear" w:color="auto" w:fill="FFFFFF"/>
        </w:rPr>
        <w:tab/>
        <w:t>копии справок о стоимости выполненных работ и затрат (при наличии установленного в контракте (договоре) положения о необходимости такого документа);</w:t>
      </w:r>
    </w:p>
    <w:p w:rsidR="00ED4B33" w:rsidRP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D4B33">
        <w:rPr>
          <w:rFonts w:ascii="Times New Roman" w:hAnsi="Times New Roman"/>
          <w:sz w:val="26"/>
          <w:szCs w:val="26"/>
          <w:shd w:val="clear" w:color="auto" w:fill="FFFFFF"/>
        </w:rPr>
        <w:t>—</w:t>
      </w:r>
      <w:r w:rsidRPr="00ED4B33">
        <w:rPr>
          <w:rFonts w:ascii="Times New Roman" w:hAnsi="Times New Roman"/>
          <w:sz w:val="26"/>
          <w:szCs w:val="26"/>
          <w:shd w:val="clear" w:color="auto" w:fill="FFFFFF"/>
        </w:rPr>
        <w:tab/>
        <w:t>копии разрешения на ввод объекта капитального строительства в эксплуатацию, за исключением случаев, при которых разрешение на ввод объекта капитального строительства в эксплуатацию не выдается в соответствии с градостроительным законодательством РФ;</w:t>
      </w:r>
    </w:p>
    <w:p w:rsidR="00ED4B33" w:rsidRP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D4B33">
        <w:rPr>
          <w:rFonts w:ascii="Times New Roman" w:hAnsi="Times New Roman"/>
          <w:sz w:val="26"/>
          <w:szCs w:val="26"/>
          <w:shd w:val="clear" w:color="auto" w:fill="FFFFFF"/>
        </w:rPr>
        <w:t>—</w:t>
      </w:r>
      <w:r w:rsidRPr="00ED4B33">
        <w:rPr>
          <w:rFonts w:ascii="Times New Roman" w:hAnsi="Times New Roman"/>
          <w:sz w:val="26"/>
          <w:szCs w:val="26"/>
          <w:shd w:val="clear" w:color="auto" w:fill="FFFFFF"/>
        </w:rPr>
        <w:tab/>
        <w:t>копий документов, подтверждающих оплату выполненных работ;</w:t>
      </w:r>
    </w:p>
    <w:p w:rsidR="00ED4B33" w:rsidRP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D4B33">
        <w:rPr>
          <w:rFonts w:ascii="Times New Roman" w:hAnsi="Times New Roman"/>
          <w:sz w:val="26"/>
          <w:szCs w:val="26"/>
          <w:shd w:val="clear" w:color="auto" w:fill="FFFFFF"/>
        </w:rPr>
        <w:t>—</w:t>
      </w:r>
      <w:r w:rsidRPr="00ED4B33">
        <w:rPr>
          <w:rFonts w:ascii="Times New Roman" w:hAnsi="Times New Roman"/>
          <w:sz w:val="26"/>
          <w:szCs w:val="26"/>
          <w:shd w:val="clear" w:color="auto" w:fill="FFFFFF"/>
        </w:rPr>
        <w:tab/>
        <w:t>«идентификационные сведения в рамках представленного к оценке опыта работы, связанного с предметом контракта часть 1»;</w:t>
      </w:r>
    </w:p>
    <w:p w:rsidR="00ED4B33" w:rsidRP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D4B33">
        <w:rPr>
          <w:rFonts w:ascii="Times New Roman" w:hAnsi="Times New Roman"/>
          <w:sz w:val="26"/>
          <w:szCs w:val="26"/>
          <w:shd w:val="clear" w:color="auto" w:fill="FFFFFF"/>
        </w:rPr>
        <w:t>—</w:t>
      </w:r>
      <w:r w:rsidRPr="00ED4B33">
        <w:rPr>
          <w:rFonts w:ascii="Times New Roman" w:hAnsi="Times New Roman"/>
          <w:sz w:val="26"/>
          <w:szCs w:val="26"/>
          <w:shd w:val="clear" w:color="auto" w:fill="FFFFFF"/>
        </w:rPr>
        <w:tab/>
        <w:t>«идентификационные сведения в рамках представленного к оценке опыта работы, связанного с предметом контракта часть 2».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идентификационные сведения в рамках представленного к оценке опыта работы, связанного с предметом контракта часть 1</w:t>
      </w: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3"/>
        <w:gridCol w:w="2837"/>
        <w:gridCol w:w="1560"/>
        <w:gridCol w:w="2269"/>
        <w:gridCol w:w="2411"/>
      </w:tblGrid>
      <w:tr w:rsidR="00ED4B33" w:rsidTr="00ED4B33">
        <w:trPr>
          <w:cantSplit/>
          <w:trHeight w:val="104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Стоимость исполненных работ по контракту</w:t>
            </w:r>
          </w:p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(договору)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Дата заключения контракта (договора)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Дата исполнения контракта (договора)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 xml:space="preserve">Номер контракта (договора) </w:t>
            </w:r>
          </w:p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 xml:space="preserve"> </w:t>
            </w:r>
          </w:p>
        </w:tc>
      </w:tr>
      <w:tr w:rsidR="00ED4B33" w:rsidTr="00ED4B33">
        <w:trPr>
          <w:trHeight w:val="20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ED4B33" w:rsidTr="00ED4B33">
        <w:trPr>
          <w:trHeight w:val="208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 w:rsidRPr="00ED4B33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 xml:space="preserve">Пояснения: в информации об идентификационных сведениях в рамках представленного к оценке опыта работы, связанного с предметом контракта часть 1 «Стоимость исполненных работ по контракту (договору)», участник указывает стоимость исполненных работ по контракту (договору), представленного к оценке опыта работы, связанного с предметом контракта, в тысячах рублей; в информации об </w:t>
            </w:r>
            <w:r w:rsidRPr="00ED4B33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lastRenderedPageBreak/>
              <w:t>идентификационных сведениях в рамках представленного к оценке опыта работы, связанного с предметом контракта часть 1 «Дата заключения контракта (договора)», участник указывает дату заключения контракта (договора), представленного к оценке опыта работы, связанного с предметом контракта; в информации об идентификационных сведениях в рамках представленного к оценке опыта работы, связанного с предметом контракта часть 1 «Дата исполнения контракта (договора)», участник указывает дату исполнения контракта (договора), представленного к оценке опыта работы, связанного с предметом контракта; в информации об идентификационных сведениях в рамках представленного к оценке опыта работы, связанного с предметом контракта часть 1 «Номер контракта (договора)», участник указывает номер контракта (договора), представленного к оценке опыта работы, связанного с предметом контракта.</w:t>
            </w:r>
          </w:p>
        </w:tc>
      </w:tr>
    </w:tbl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идентификационные сведения в рамках представленного к оценке опыта работы, связанного с предметом контракта часть 2</w:t>
      </w:r>
    </w:p>
    <w:tbl>
      <w:tblPr>
        <w:tblW w:w="1062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4"/>
        <w:gridCol w:w="1684"/>
        <w:gridCol w:w="8052"/>
      </w:tblGrid>
      <w:tr w:rsidR="00ED4B33" w:rsidTr="00ED4B33">
        <w:trPr>
          <w:jc w:val="center"/>
        </w:trPr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/п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Номер контракта (договора)</w:t>
            </w:r>
          </w:p>
        </w:tc>
        <w:tc>
          <w:tcPr>
            <w:tcW w:w="8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Информация об идентификационных сведениях в рамках представленного к оценке опыта работы, связанного с предметом контракта</w:t>
            </w:r>
          </w:p>
        </w:tc>
      </w:tr>
      <w:tr w:rsidR="00ED4B33" w:rsidTr="00ED4B33">
        <w:trPr>
          <w:jc w:val="center"/>
        </w:trPr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1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2</w:t>
            </w:r>
          </w:p>
        </w:tc>
        <w:tc>
          <w:tcPr>
            <w:tcW w:w="8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3</w:t>
            </w:r>
          </w:p>
        </w:tc>
      </w:tr>
      <w:tr w:rsidR="00ED4B33" w:rsidTr="00ED4B33">
        <w:trPr>
          <w:trHeight w:val="528"/>
          <w:jc w:val="center"/>
        </w:trPr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1.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  <w:tc>
          <w:tcPr>
            <w:tcW w:w="8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ED4B33" w:rsidTr="00ED4B33">
        <w:trPr>
          <w:trHeight w:val="528"/>
          <w:jc w:val="center"/>
        </w:trPr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2.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  <w:tc>
          <w:tcPr>
            <w:tcW w:w="8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ED4B33" w:rsidTr="00ED4B33">
        <w:trPr>
          <w:trHeight w:val="528"/>
          <w:jc w:val="center"/>
        </w:trPr>
        <w:tc>
          <w:tcPr>
            <w:tcW w:w="8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…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  <w:tc>
          <w:tcPr>
            <w:tcW w:w="8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ED4B33" w:rsidTr="00ED4B33">
        <w:trPr>
          <w:trHeight w:val="528"/>
          <w:jc w:val="center"/>
        </w:trPr>
        <w:tc>
          <w:tcPr>
            <w:tcW w:w="10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B33" w:rsidRDefault="00ED4B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</w:pPr>
            <w:r w:rsidRPr="00ED4B33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Пояснения: Информация об идентификационных сведениях в рамках представленного к оценке опыта работы, связанного с предметом контракта часть 2 должно быть предоставлено в соответствии с идентификационными сведениями в рамках представленного к оценке опыта работы, связанного с предметом контракта часть 2. Участник закупки в информации об идентификационных сведениях в рамках представленного к оценке опыта работы, связанного с предметом контракта часть 2 «Номер контракта (договора)» приводит реестровый номер контракта (договора) (при наличии); в информации об идентификационных сведениях в рамках представленного к оценке опыта работы, связанного с предметом контракта часть 2 «Информация об идентификационных сведениях в рамках представленного к оценке опыта работы, связанного с предметом контракта», участник приводит предмет исполненного контракта (договора), приводит описание выполненных работ по исполненному контракту (договору), описывая каким образом, были организованы работы</w:t>
            </w:r>
            <w:proofErr w:type="gramStart"/>
            <w:r w:rsidRPr="00ED4B33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 xml:space="preserve"> ,</w:t>
            </w:r>
            <w:proofErr w:type="gramEnd"/>
            <w:r w:rsidRPr="00ED4B33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 xml:space="preserve"> указанные в исполненном контракте (договоре), в том </w:t>
            </w:r>
            <w:proofErr w:type="gramStart"/>
            <w:r w:rsidRPr="00ED4B33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>числе предоставляет перечень документов, входящих в комплект отчетной документации, предоставляемый по итогам выполнения работ, предоставляет информацию о документах, подтверждающих оплату выполненных работ, предоставляет информацию о наличии/отсутствии дополнительных соглашений, заключенных в рамках исполнения контракта (договора), предоставляемого в качестве подтверждения квалификации участника закупки,  предоставляет информацию о наличии/отсутствии неустоек (штрафов, пеней), в случае наличия неустоек (штрафов, пеней) - представляет информацию о номере</w:t>
            </w:r>
            <w:proofErr w:type="gramEnd"/>
            <w:r w:rsidRPr="00ED4B33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en-US"/>
              </w:rPr>
              <w:t xml:space="preserve"> платежного документа, подтверждающего исполнение требований об уплате неустоек (штрафов, пеней), представляет информацию о гарантийном сроке, предоставляет информацию о привлечении/не привлечении к выполнению работ сторонних организаций (соисполнителей) и объемы работ, передаваемые им.</w:t>
            </w:r>
          </w:p>
        </w:tc>
      </w:tr>
    </w:tbl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Понятие «Вид работ», установленное в пояснениях к заполнению формы идентификационные сведения в рамках представленного к оценке опыта работы, связанного с предметом контракта часть 2 по исполненному контракту подразумевает работы, указанные в локальных сметных расчетах, в случае, если контрактом (договором) не предусмотрен локальный сметный расчет, то понятие «Вид работ», установленное в графе «пояснения» подразумевает работы, указанные в существенных условиях контракта (договора</w:t>
      </w:r>
      <w:proofErr w:type="gramEnd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 xml:space="preserve">) (предмет контракта/договора), который участник закупки представляет в качестве подтверждения опыта участника по успешному выполнению работ. </w:t>
      </w: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Под характеристикой «Нормативно-правовая база, в соответствии с которой участник закупки выполнял работы» понимается основные нормативно-правовые акты Российской Федерации, регулирующие деятельность в области строительства и/или реконструкции и/или текущего ремонта и/или капитального ремонта и/или сносу, в том числе высший нормативный правовой акт Российской Федерации, а также нормативно-правовая база, в соответствии с которой участник закупки выполнял работы в рамках</w:t>
      </w:r>
      <w:proofErr w:type="gramEnd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 xml:space="preserve"> представленного к оценке контракта (договора). Под характеристикой «Привлеченные специалисты при выполнении работ» понимаются специалисты, привлекаемые участником закупки в ходе исполнения контракта. </w:t>
      </w: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В рамках характеристики «Привлекаемые специалисты при выполнении работ», участнику закупки необходимо указать следующую информацию: должность, перечень обязанностей по охране труда, которые исполнялись в рамках выполнения работ, наличие/отсутствие уведомления о включении в национальный реестр специалистов в области строительства (при наличии у привлекаемого специалиста уведомления о включении в национальный реестр специалистов в области строительства), основные функции/обязанности.</w:t>
      </w:r>
      <w:proofErr w:type="gramEnd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 xml:space="preserve"> Под характеристикой «Контроль качества выполненных работ» понимается комплекс мер, нацеленных на соблюдение тех норм и стандартов, которые являются необходимыми для соответствия результата выполненных работ. </w:t>
      </w: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В рамках характеристики «Контроль качества выполненных работ» участник закупки указывает уполномоченное и назначенное (должность, а также документ, в рамках которого лицо было уполномочено и назначено на выполнение соответствующего вида контроля) на выполнение соответствующего вида контроля лицо (группу лиц), которое осуществляло комплекс мер, нацеленных на соблюдение тех норм и стандартов, которые являются необходимыми для соответствия результата выполненных работ требованиям, а также</w:t>
      </w:r>
      <w:proofErr w:type="gramEnd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 xml:space="preserve"> перечень контрольных мероприятий, проводимых уполномоченным и назначенным на выполнение соответствующего вида контроля лицо (группу лиц), которое осуществляло комплекс мер, нацеленных на соблюдение тех норм и стандартов, которые являются необходимыми для соответствия результата выполненных работ. Под характеристикой «Используемое оборудование и/или инвентарь и/или средства» понимается оборудование и/или инвентарь и/или средства используемое в рамках выполнения работ. Основным является нормативный правовой акт, имеющий самостоятельное значение по отношению к другим нормативным правовым актам, а также нормативный правовой акт, которым утверждается другой нормативный правовой акт, либо нормативный правовой акт, в который вносятся изменения, отменяется или разъясняется другим нормативным правовым актом, к таким актам следует </w:t>
      </w: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относить</w:t>
      </w:r>
      <w:proofErr w:type="gramEnd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 xml:space="preserve"> в том числе Гражданский кодекс Российской Федерации от 30.11.1994 № </w:t>
      </w:r>
      <w:r w:rsidRPr="00ED4B33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51-ФЗ, Федеральный закон «О контрактной системе в сфере закупок товаров, работ, услуг для обеспечения государственных и муниципальных нужд» от 05.04.2013 № 44-ФЗ или Федеральный закон «О закупках товаров, работ, услуг отдельными видами юридических лиц» от 18.07.2011 № 223-ФЗ (в случае, если к оценке представлен контракт, заключенный по результатам закупки). В рамках предоставления информации о документах, подтверждающих оплату выполненных работ участник закупки должен указать реквизиты, а именно номер и дату документа, наименование плательщика, с указанием идентификационного номера налогоплательщика, получателя, с указанием идентификационного номера налогоплательщика, сумма, назначение платежа. В случае зачета в соответствии со статьей 410 Гражданского кодекса Российской Федерации, участник закупки предоставляет информацию о сторонах требования (заявления) с указанием идентификационных номеров налогоплательщиков, дата, номер такого документа, сумма, содержание положений такого документа. </w:t>
      </w: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В случае списания неустоек (штрафов, пеней) Заказчиком в соответствии с Постановлением Правительства РФ от 04.07.2018 № 783 «О списании начисленных поставщику (подрядчику, исполнителю),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контрактом», участник закупки предоставляет информацию о наименовании документа, подтверждающего списание суммы неустойки (штрафа, пеней), предоставляет информацию о сторонах, указанных в таком</w:t>
      </w:r>
      <w:proofErr w:type="gramEnd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документе</w:t>
      </w:r>
      <w:proofErr w:type="gramEnd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 xml:space="preserve"> с указанием идентификационных номеров налогоплательщиков, дата такого документа, сумма неустоек (штрафов, пеней), содержание положений такого документа. В части указания участником закупки гарантийного срока, участнику закупки необходимо указать начало и окончание гарантийного срока. В случае подписания контракта (договора) и/или других документов, предоставляемых к оценке опыта работы, электронной подписью, участник закупки, в рамках предоставления опыта должен предоставить информацию о подписании контракта (договора) электронной подписью. </w:t>
      </w:r>
      <w:proofErr w:type="gramStart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>В случае заключения дополнительного соглашения в рамках исполнения контракта (договора), предоставляемого в качестве подтверждения квалификации участника закупки, участник закупки должен указать информацию о сторонах, между которых было заключено дополнительное соглашение, с указанием идентификационного номера налогоплательщика, дата заключения дополнительного соглашения, основные положения дополнительного соглашения (излагает суть дополнительного соглашения, а также основание заключения).</w:t>
      </w:r>
      <w:proofErr w:type="gramEnd"/>
      <w:r w:rsidRPr="00ED4B33">
        <w:rPr>
          <w:rFonts w:ascii="Times New Roman" w:hAnsi="Times New Roman"/>
          <w:sz w:val="26"/>
          <w:szCs w:val="26"/>
          <w:shd w:val="clear" w:color="auto" w:fill="FFFFFF"/>
        </w:rPr>
        <w:t xml:space="preserve"> По контракту (договору), подтверждающему опыт участника, по которому в составе заявки не представлены все указанные выше документы, или в случае несоответствия указанных сведений в представленных документах при определении количества баллов по данному показателю участнику закупки присваивается 0 баллов. Информация об идентификационных сведениях в рамках представленного к оценке опыта работы, связанного с предметом контракта в отношении каждой оцениваемой характеристики, должна содержать наименование соответствующей характеристики</w:t>
      </w:r>
      <w:r>
        <w:rPr>
          <w:rFonts w:ascii="Times New Roman" w:hAnsi="Times New Roman"/>
          <w:sz w:val="26"/>
          <w:szCs w:val="26"/>
          <w:shd w:val="clear" w:color="auto" w:fill="FFFFFF"/>
        </w:rPr>
        <w:t>».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Согласно подпункту в) пункта 28 Постановления Правительства РФ № 2604 в случае применения показателя оценки, предусмотренного подпунктом "в" пункта 24 Постановления Правительства РФ № 2604, в том числе, устанавливается перечень документов, подтверждающих наличие у участника закупки опыта </w:t>
      </w:r>
      <w:r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>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>, составленные при исполнении такого договора (договоров).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Из требований к содержанию и составу заявки следует, что потенциальному участнику закупки необходимо предоставить документы, подтверждающие наличие у участника закупки опыта в рамках детализирующего показателя оценки, а также предоставить сведения о наличии указанного опыта в соответствии с таблицами с таблицами «идентификационные сведения в рамках представленного к оценке опыта работы, связанного с предметом контракта часть 1», «идентификационные сведения в рамках представленного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к оценке опыта работы, связанного с предметом контракта часть 2»: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>- «Под характеристикой «Нормативно-правовая база, в соответствии с которой участник закупки выполнял работы» понимается основные нормативно-правовые акты Российской Федерации, регулирующие деятельность в области строительства и/или реконструкции и/или капитального ремонта и/или сносу, в том числе высший нормативный правовой акт Российской Федерации, а также нормативно-правовая база, в соответствии с которой участник закупки выполнял работы в рамках представленного к оценке контракта</w:t>
      </w:r>
      <w:proofErr w:type="gramEnd"/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 xml:space="preserve"> (договора)»;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 xml:space="preserve">- «Под характеристикой «Привлеченные специалисты при выполнении работ» понимаются специалисты, привлекаемые участником закупки в ходе исполнения контракта. </w:t>
      </w:r>
      <w:proofErr w:type="gramStart"/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>В рамках характеристики «Привлекаемые специалисты при выполнении работ», участнику закупки необходимо указать следующую информацию: должность, наличие/отсутствие уведомления о включении в национальный реестр специалистов в области строительства (при наличии у привлекаемого специалиста уведомления о включении в национальный реестр специалистов в области строительства), перечень обязанностей по охране труда, которые исполнялись в рамках выполнения работ, основные функции/обязанности»;</w:t>
      </w:r>
      <w:proofErr w:type="gramEnd"/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shd w:val="clear" w:color="auto" w:fill="FFFFFF"/>
        </w:rPr>
      </w:pPr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 xml:space="preserve">- «Под характеристикой «Контроль качества выполненных работ» понимается комплекс мер, нацеленных на соблюдение тех норм и стандартов, которые являются необходимыми для соответствия результата выполненных работ. </w:t>
      </w:r>
      <w:proofErr w:type="gramStart"/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>В рамках характеристики «Контроль качества выполненных работ» участник закупки указывает уполномоченное и назначенное (должность, а также документ, в рамках которого лицо было уполномочено и назначено на выполнение соответствующего вида контроля) на выполнение соответствующего вида контроля лицо (группу лиц), которое осуществляло комплекс мер, нацеленных на соблюдение тех норм и стандартов, которые являются необходимыми для соответствия результата выполненных работ требованиям, а также</w:t>
      </w:r>
      <w:proofErr w:type="gramEnd"/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 xml:space="preserve"> перечень контрольных мероприятий, проводимых уполномоченным и назначенным на выполнение соответствующего вида контроля лицо (группу лиц), которое осуществляло комплекс мер, нацеленных на соблюдение тех норм и стандартов, которые являются необходимыми для соответствия результата выполненных работ».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shd w:val="clear" w:color="auto" w:fill="FFFFFF"/>
        </w:rPr>
      </w:pPr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>-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«</w:t>
      </w:r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>Под характеристикой «Используемое оборудование и/или инвентарь и/или средства» понимается оборудование и/или инвентарь и/или средства используемое в рамках выполнения работ».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>Комиссия отмечает, что Постановлением Правительства РФ №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заявки на участие в электронном конкурсе, содержащих информацию о квалификации участника закупки, дублирующую информацию, содержащуюся в самом контракте (договоре), представленном участником закупки в составе заявки для начисления баллов.</w:t>
      </w:r>
      <w:proofErr w:type="gramEnd"/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Кроме того, Комиссия, ознакомившись с положениями порядка рассмотрения и оценки заявок установила, что следующее положение: </w:t>
      </w: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«</w:t>
      </w:r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>Понятие «Вид работ», установленное в пояснениях к заполнению формы идентификационные сведения в рамках представленного к оценке опыта работы, связанного с предметом контракта часть 2 по исполненному контракту подразумевает работы, указанные в локальных сметных расчетах, в случае, если контрактом (договором) не предусмотрен локальный сметный расчет, то понятие «Вид работ», установленное в графе «пояснения» подразумевает работы, указанные в существенных условиях контракта (договора</w:t>
      </w:r>
      <w:proofErr w:type="gramEnd"/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>) (</w:t>
      </w:r>
      <w:proofErr w:type="gramStart"/>
      <w:r>
        <w:rPr>
          <w:rFonts w:ascii="Times New Roman" w:hAnsi="Times New Roman"/>
          <w:i/>
          <w:iCs/>
          <w:sz w:val="26"/>
          <w:szCs w:val="26"/>
          <w:shd w:val="clear" w:color="auto" w:fill="FFFFFF"/>
        </w:rPr>
        <w:t>предмет контракта/договора), который участник закупки представляет в качестве подтверждения опыта участника по успешному выполнению работ</w:t>
      </w:r>
      <w:r>
        <w:rPr>
          <w:rFonts w:ascii="Times New Roman" w:hAnsi="Times New Roman"/>
          <w:sz w:val="26"/>
          <w:szCs w:val="26"/>
          <w:shd w:val="clear" w:color="auto" w:fill="FFFFFF"/>
        </w:rPr>
        <w:t>» может повлечь к необоснованному начислению конкурсной комиссией заказчика 0 баллов заявке участника, так как, в соответствии с пунктом «д» части 31 раздела VI «Особенности оценки заявок при осуществлении закупок отдельных видов товаров, работ, услуг» Постановления Правительства РФ от 31.12.2021 N 2604 (ред. от 31.10.2022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>) "</w:t>
      </w: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ПП РФ 2604) «К оценке принимаются документы, предусмотренные абзацем третьим подпункта "в" пункта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28 настоящего Положения, в том </w:t>
      </w: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числе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если к ним не приложена проектная документация (если проектная документация является приложением к таким документам)». 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Таким образом, Заказчик, установив вышеуказанное положение порядка рассмотрения и оценки заявок, нарушил положения ПП РФ № 2604 и Закона о контрактной системе, поскольку установил порядок оценки заявок участников, который может повлечь к необоснованному начислению конкурсной комиссией заказчика 0 баллов заявке участника, так как согласно ПП РФ № 2604, проектная документация не является документом, обязательным к предоставлению в составе заявки, следовательно, может возникнуть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ситуация, при которой локальный сметный расчет при его существовании как документа, являющегося приложением к контракту и частью проектной документации, может быть не представлен в составе заявки на законном основании.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Исходя из вышеуказанного, порядок оценки заявок участников открытого конкурса в электронной форме с нарушением принципов неценовой конкуренции, о соблюдении которых неоднократно указывалось, в том числе в Обзоре судебной практики Верховного Суда РФ № 1 (2020), что приводит к ситуации, когда участники закупки, предоставившие сведения, могут получить 0 баллов за ошибки оформления или составления табличной формы.  </w:t>
      </w:r>
      <w:proofErr w:type="gramEnd"/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Таким образом, Комиссия пришла к выводу, что в действиях Заказчика усматривается нарушение пункта 4 части 2 статьи 42 Закона о контрактной системе в части установления ненадлежащего </w:t>
      </w: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порядка оценки заявок участников открытого конкурса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в электронной форме.</w:t>
      </w: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</w:p>
    <w:p w:rsidR="00ED4B33" w:rsidRDefault="00ED4B33" w:rsidP="00ED4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На основании изложенного и, руководствуясь частью 8 статьи 106, пунктом 2 части 22 статьи 99 Закона о контрактной системе, Комиссия</w:t>
      </w:r>
    </w:p>
    <w:p w:rsidR="00ED4B33" w:rsidRDefault="00ED4B33" w:rsidP="00ED4B33">
      <w:pPr>
        <w:widowControl w:val="0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ED4B33" w:rsidRDefault="00ED4B33" w:rsidP="00ED4B33">
      <w:pPr>
        <w:widowControl w:val="0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РЕШИЛА:</w:t>
      </w:r>
    </w:p>
    <w:p w:rsidR="00ED4B33" w:rsidRDefault="00ED4B33" w:rsidP="00ED4B3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ED4B33" w:rsidRDefault="00ED4B33" w:rsidP="00ED4B33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Cs/>
          <w:sz w:val="26"/>
          <w:szCs w:val="26"/>
        </w:rPr>
        <w:t>Признать жалобу ИП Коваленко М.С. обоснованной;</w:t>
      </w:r>
    </w:p>
    <w:p w:rsidR="00ED4B33" w:rsidRDefault="00ED4B33" w:rsidP="00ED4B33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Cs/>
          <w:sz w:val="26"/>
          <w:szCs w:val="26"/>
        </w:rPr>
        <w:t>Признать в действиях Заказчика нарушение пункта 4 части 2 статьи 42 Закона о контрактной системе;</w:t>
      </w:r>
    </w:p>
    <w:p w:rsidR="00ED4B33" w:rsidRDefault="00ED4B33" w:rsidP="00ED4B33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Cs/>
          <w:sz w:val="26"/>
          <w:szCs w:val="26"/>
        </w:rPr>
        <w:t>Не выдавать Заказчику предписание об устранении выявленных нарушений, так как в материалы дела не представлено доказательств того, что выявленное нарушение повлияло на процедуру осуществления закупки;</w:t>
      </w:r>
    </w:p>
    <w:p w:rsidR="00ED4B33" w:rsidRDefault="00ED4B33" w:rsidP="00ED4B33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Cs/>
          <w:sz w:val="26"/>
          <w:szCs w:val="26"/>
        </w:rPr>
        <w:t>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производства.</w:t>
      </w:r>
    </w:p>
    <w:p w:rsidR="00ED4B33" w:rsidRDefault="00ED4B33" w:rsidP="00ED4B3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ED4B33" w:rsidRDefault="00ED4B33" w:rsidP="00ED4B3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Настоящее решение может быть обжаловано в судебном порядке в течение трёх месяцев со дня принятия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8C28A7" w:rsidRPr="00ED4B33" w:rsidRDefault="00455C3F" w:rsidP="00ED4B33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8C28A7" w:rsidRPr="00ED4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00B44"/>
    <w:multiLevelType w:val="hybridMultilevel"/>
    <w:tmpl w:val="A25C5290"/>
    <w:lvl w:ilvl="0" w:tplc="CE2641C0">
      <w:start w:val="1"/>
      <w:numFmt w:val="decimal"/>
      <w:lvlText w:val="%1."/>
      <w:lvlJc w:val="left"/>
      <w:pPr>
        <w:tabs>
          <w:tab w:val="num" w:pos="1069"/>
        </w:tabs>
        <w:ind w:left="36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8CE396C">
      <w:start w:val="1"/>
      <w:numFmt w:val="decimal"/>
      <w:lvlText w:val="%2."/>
      <w:lvlJc w:val="left"/>
      <w:pPr>
        <w:tabs>
          <w:tab w:val="left" w:pos="993"/>
          <w:tab w:val="num" w:pos="1789"/>
        </w:tabs>
        <w:ind w:left="108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61ED0AC">
      <w:start w:val="1"/>
      <w:numFmt w:val="decimal"/>
      <w:lvlText w:val="%3."/>
      <w:lvlJc w:val="left"/>
      <w:pPr>
        <w:tabs>
          <w:tab w:val="left" w:pos="993"/>
          <w:tab w:val="num" w:pos="2509"/>
        </w:tabs>
        <w:ind w:left="180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7E89ED2">
      <w:start w:val="1"/>
      <w:numFmt w:val="decimal"/>
      <w:lvlText w:val="%4."/>
      <w:lvlJc w:val="left"/>
      <w:pPr>
        <w:tabs>
          <w:tab w:val="left" w:pos="993"/>
          <w:tab w:val="num" w:pos="3229"/>
        </w:tabs>
        <w:ind w:left="252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A626F86">
      <w:start w:val="1"/>
      <w:numFmt w:val="decimal"/>
      <w:lvlText w:val="%5."/>
      <w:lvlJc w:val="left"/>
      <w:pPr>
        <w:tabs>
          <w:tab w:val="left" w:pos="993"/>
          <w:tab w:val="num" w:pos="3949"/>
        </w:tabs>
        <w:ind w:left="324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65C7C0E">
      <w:start w:val="1"/>
      <w:numFmt w:val="decimal"/>
      <w:lvlText w:val="%6."/>
      <w:lvlJc w:val="left"/>
      <w:pPr>
        <w:tabs>
          <w:tab w:val="left" w:pos="993"/>
          <w:tab w:val="num" w:pos="4669"/>
        </w:tabs>
        <w:ind w:left="396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EC06EA6">
      <w:start w:val="1"/>
      <w:numFmt w:val="decimal"/>
      <w:lvlText w:val="%7."/>
      <w:lvlJc w:val="left"/>
      <w:pPr>
        <w:tabs>
          <w:tab w:val="left" w:pos="993"/>
          <w:tab w:val="num" w:pos="5389"/>
        </w:tabs>
        <w:ind w:left="468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64A17DA">
      <w:start w:val="1"/>
      <w:numFmt w:val="decimal"/>
      <w:lvlText w:val="%8."/>
      <w:lvlJc w:val="left"/>
      <w:pPr>
        <w:tabs>
          <w:tab w:val="left" w:pos="993"/>
          <w:tab w:val="num" w:pos="6109"/>
        </w:tabs>
        <w:ind w:left="540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91A4876">
      <w:start w:val="1"/>
      <w:numFmt w:val="decimal"/>
      <w:lvlText w:val="%9."/>
      <w:lvlJc w:val="left"/>
      <w:pPr>
        <w:tabs>
          <w:tab w:val="left" w:pos="993"/>
          <w:tab w:val="num" w:pos="6829"/>
        </w:tabs>
        <w:ind w:left="6120" w:firstLine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33"/>
    <w:rsid w:val="002E7A4B"/>
    <w:rsid w:val="00455C3F"/>
    <w:rsid w:val="004746B1"/>
    <w:rsid w:val="0078524D"/>
    <w:rsid w:val="00ED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B33"/>
    <w:rPr>
      <w:rFonts w:ascii="Calibri" w:eastAsia="Arial Unicode MS" w:hAnsi="Calibri" w:cs="Arial Unicode MS"/>
      <w:color w:val="000000"/>
      <w:u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4B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B33"/>
    <w:rPr>
      <w:rFonts w:ascii="Calibri" w:eastAsia="Arial Unicode MS" w:hAnsi="Calibri" w:cs="Arial Unicode MS"/>
      <w:color w:val="000000"/>
      <w:u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4B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2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5018</Words>
  <Characters>28603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Вильчик Илья Владиславович</cp:lastModifiedBy>
  <cp:revision>3</cp:revision>
  <dcterms:created xsi:type="dcterms:W3CDTF">2023-11-10T06:13:00Z</dcterms:created>
  <dcterms:modified xsi:type="dcterms:W3CDTF">2023-11-10T07:35:00Z</dcterms:modified>
</cp:coreProperties>
</file>