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1"/>
      </w:tblGrid>
      <w:tr w:rsidR="00E26FF6">
        <w:trPr>
          <w:trHeight w:val="4195"/>
          <w:jc w:val="right"/>
        </w:trPr>
        <w:tc>
          <w:tcPr>
            <w:tcW w:w="4961" w:type="dxa"/>
          </w:tcPr>
          <w:p w:rsidR="00E26FF6" w:rsidRDefault="00B06549" w:rsidP="00B06549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Муниципальное учреждение Администрация муниципального образования «</w:t>
            </w:r>
            <w:proofErr w:type="spellStart"/>
            <w:r>
              <w:t>Сенгилеевский</w:t>
            </w:r>
            <w:proofErr w:type="spellEnd"/>
            <w:r>
              <w:t xml:space="preserve"> район» </w:t>
            </w:r>
            <w:r>
              <w:t>Ульяновской области</w:t>
            </w:r>
            <w:r>
              <w:br/>
              <w:t xml:space="preserve">433380, Ульяновская обл., </w:t>
            </w:r>
            <w:proofErr w:type="spellStart"/>
            <w:r>
              <w:t>Сенгилеевский</w:t>
            </w:r>
            <w:proofErr w:type="spellEnd"/>
            <w:r>
              <w:t xml:space="preserve"> р-н, г. Сенгилей, пл. 1 Мая, д. 2 </w:t>
            </w:r>
            <w:r>
              <w:br/>
              <w:t>sengileevsk@mail.ru</w:t>
            </w:r>
            <w:r>
              <w:br/>
            </w:r>
            <w:r>
              <w:br/>
              <w:t xml:space="preserve">Индивидуальный предприниматель </w:t>
            </w:r>
            <w:proofErr w:type="gramStart"/>
            <w:r>
              <w:t>Б</w:t>
            </w:r>
            <w:r w:rsidRPr="00B06549">
              <w:t>&lt;</w:t>
            </w:r>
            <w:proofErr w:type="gramEnd"/>
            <w:r w:rsidRPr="00B06549">
              <w:t>…&gt;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26FF6" w:rsidRDefault="00E26FF6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21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</w:tbl>
    <w:p w:rsidR="00E26FF6" w:rsidRDefault="00B06549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89535</wp:posOffset>
            </wp:positionH>
            <wp:positionV relativeFrom="page">
              <wp:posOffset>677545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6FF6" w:rsidRDefault="00E26FF6">
      <w:pPr>
        <w:jc w:val="right"/>
      </w:pPr>
    </w:p>
    <w:p w:rsidR="00E26FF6" w:rsidRDefault="00B06549">
      <w:pPr>
        <w:keepNext/>
        <w:jc w:val="center"/>
        <w:rPr>
          <w:b/>
        </w:rPr>
      </w:pPr>
      <w:r>
        <w:rPr>
          <w:b/>
        </w:rPr>
        <w:t>РЕШЕНИЕ</w:t>
      </w:r>
    </w:p>
    <w:p w:rsidR="00E26FF6" w:rsidRDefault="00E26FF6">
      <w:pPr>
        <w:keepNext/>
      </w:pPr>
    </w:p>
    <w:p w:rsidR="00E26FF6" w:rsidRDefault="00B06549">
      <w:pPr>
        <w:keepNext/>
        <w:jc w:val="both"/>
      </w:pPr>
      <w:r>
        <w:t xml:space="preserve">07.11.2023                                                              </w:t>
      </w:r>
      <w:r>
        <w:t xml:space="preserve">                                    Дело № 073/06/106-724/2023</w:t>
      </w:r>
    </w:p>
    <w:p w:rsidR="00E26FF6" w:rsidRDefault="00B06549">
      <w:pPr>
        <w:keepNext/>
        <w:jc w:val="center"/>
      </w:pPr>
      <w:r>
        <w:t>г. Ульяновск</w:t>
      </w:r>
    </w:p>
    <w:p w:rsidR="00E26FF6" w:rsidRDefault="00E26FF6">
      <w:pPr>
        <w:keepNext/>
        <w:ind w:firstLine="425"/>
        <w:jc w:val="both"/>
      </w:pPr>
    </w:p>
    <w:p w:rsidR="00E26FF6" w:rsidRDefault="00B06549">
      <w:pPr>
        <w:keepNext/>
        <w:ind w:firstLine="425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tbl>
      <w:tblPr>
        <w:tblW w:w="10200" w:type="dxa"/>
        <w:tblInd w:w="-217" w:type="dxa"/>
        <w:tblLayout w:type="fixed"/>
        <w:tblLook w:val="04A0" w:firstRow="1" w:lastRow="0" w:firstColumn="1" w:lastColumn="0" w:noHBand="0" w:noVBand="1"/>
      </w:tblPr>
      <w:tblGrid>
        <w:gridCol w:w="3522"/>
        <w:gridCol w:w="6678"/>
      </w:tblGrid>
      <w:tr w:rsidR="00E26FF6">
        <w:trPr>
          <w:trHeight w:val="141"/>
        </w:trPr>
        <w:tc>
          <w:tcPr>
            <w:tcW w:w="3522" w:type="dxa"/>
          </w:tcPr>
          <w:p w:rsidR="00E26FF6" w:rsidRDefault="00B06549">
            <w:pPr>
              <w:spacing w:line="276" w:lineRule="auto"/>
              <w:ind w:right="-590" w:firstLine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6678" w:type="dxa"/>
          </w:tcPr>
          <w:p w:rsidR="00E26FF6" w:rsidRDefault="00B06549">
            <w:pPr>
              <w:tabs>
                <w:tab w:val="left" w:pos="6980"/>
              </w:tabs>
              <w:spacing w:line="276" w:lineRule="auto"/>
              <w:ind w:left="459" w:right="181" w:hanging="34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заместителя руководителя управления – </w:t>
            </w:r>
            <w:r>
              <w:rPr>
                <w:lang w:eastAsia="en-US"/>
              </w:rPr>
              <w:t xml:space="preserve">начальника отдела </w:t>
            </w:r>
            <w:r w:rsidRPr="00B06549">
              <w:rPr>
                <w:lang w:eastAsia="en-US"/>
              </w:rPr>
              <w:t>&lt;…&gt;</w:t>
            </w:r>
            <w:r>
              <w:rPr>
                <w:lang w:eastAsia="en-US"/>
              </w:rPr>
              <w:t>;</w:t>
            </w:r>
          </w:p>
        </w:tc>
      </w:tr>
      <w:tr w:rsidR="00E26FF6">
        <w:trPr>
          <w:trHeight w:val="1785"/>
        </w:trPr>
        <w:tc>
          <w:tcPr>
            <w:tcW w:w="3522" w:type="dxa"/>
          </w:tcPr>
          <w:p w:rsidR="00E26FF6" w:rsidRDefault="00E26FF6">
            <w:pPr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E26FF6" w:rsidRDefault="00B06549">
            <w:pPr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членов комиссии:</w:t>
            </w:r>
          </w:p>
          <w:p w:rsidR="00E26FF6" w:rsidRDefault="00E26FF6">
            <w:pPr>
              <w:spacing w:line="276" w:lineRule="auto"/>
              <w:ind w:firstLine="425"/>
              <w:rPr>
                <w:lang w:eastAsia="en-US"/>
              </w:rPr>
            </w:pPr>
          </w:p>
          <w:p w:rsidR="00E26FF6" w:rsidRDefault="00E26FF6">
            <w:pPr>
              <w:spacing w:line="276" w:lineRule="auto"/>
              <w:ind w:firstLine="425"/>
              <w:rPr>
                <w:lang w:eastAsia="en-US"/>
              </w:rPr>
            </w:pPr>
          </w:p>
          <w:p w:rsidR="00E26FF6" w:rsidRDefault="00B06549">
            <w:pPr>
              <w:ind w:right="-391" w:firstLine="425"/>
            </w:pPr>
            <w:r>
              <w:t xml:space="preserve">в присутствии </w:t>
            </w:r>
          </w:p>
          <w:p w:rsidR="00E26FF6" w:rsidRDefault="00B06549">
            <w:pPr>
              <w:ind w:right="-391" w:firstLine="425"/>
            </w:pPr>
            <w:r>
              <w:t xml:space="preserve">(с использованием </w:t>
            </w:r>
          </w:p>
          <w:p w:rsidR="00E26FF6" w:rsidRDefault="00B06549">
            <w:pPr>
              <w:ind w:right="-391" w:firstLine="425"/>
            </w:pPr>
            <w:r>
              <w:t xml:space="preserve">системы </w:t>
            </w:r>
            <w:proofErr w:type="spellStart"/>
            <w:r>
              <w:t>видеоконференц</w:t>
            </w:r>
            <w:proofErr w:type="spellEnd"/>
            <w:r>
              <w:t>-</w:t>
            </w:r>
          </w:p>
          <w:p w:rsidR="00E26FF6" w:rsidRDefault="00B06549">
            <w:pPr>
              <w:ind w:right="-391" w:firstLine="425"/>
            </w:pPr>
            <w:r>
              <w:t>связи),</w:t>
            </w:r>
          </w:p>
        </w:tc>
        <w:tc>
          <w:tcPr>
            <w:tcW w:w="6678" w:type="dxa"/>
          </w:tcPr>
          <w:p w:rsidR="00E26FF6" w:rsidRDefault="00E26FF6">
            <w:pPr>
              <w:spacing w:line="276" w:lineRule="auto"/>
              <w:ind w:right="181" w:firstLine="425"/>
              <w:contextualSpacing/>
              <w:jc w:val="both"/>
              <w:rPr>
                <w:lang w:eastAsia="en-US"/>
              </w:rPr>
            </w:pPr>
          </w:p>
          <w:p w:rsidR="00E26FF6" w:rsidRDefault="00B06549">
            <w:pPr>
              <w:tabs>
                <w:tab w:val="left" w:pos="4410"/>
              </w:tabs>
              <w:spacing w:line="276" w:lineRule="auto"/>
              <w:ind w:right="181" w:firstLine="425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заместителя начальника отдела </w:t>
            </w:r>
            <w:r w:rsidRPr="00B06549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E26FF6" w:rsidRDefault="00B06549">
            <w:pPr>
              <w:spacing w:line="276" w:lineRule="auto"/>
              <w:ind w:right="181" w:firstLine="425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B06549">
              <w:rPr>
                <w:lang w:eastAsia="en-US"/>
              </w:rPr>
              <w:t>&lt;…</w:t>
            </w:r>
            <w:proofErr w:type="gramStart"/>
            <w:r w:rsidRPr="00B06549">
              <w:rPr>
                <w:lang w:eastAsia="en-US"/>
              </w:rPr>
              <w:t>&gt;</w:t>
            </w:r>
            <w:r>
              <w:rPr>
                <w:lang w:eastAsia="en-US"/>
              </w:rPr>
              <w:t>.,</w:t>
            </w:r>
            <w:proofErr w:type="gramEnd"/>
          </w:p>
          <w:p w:rsidR="00E26FF6" w:rsidRDefault="00E26FF6">
            <w:pPr>
              <w:spacing w:line="276" w:lineRule="auto"/>
              <w:ind w:right="181" w:firstLine="425"/>
              <w:contextualSpacing/>
              <w:jc w:val="both"/>
              <w:rPr>
                <w:i/>
                <w:lang w:eastAsia="en-US"/>
              </w:rPr>
            </w:pPr>
          </w:p>
          <w:p w:rsidR="00E26FF6" w:rsidRDefault="00B06549">
            <w:pPr>
              <w:ind w:left="459"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- от Агентства государственных закупок </w:t>
            </w:r>
            <w:r>
              <w:rPr>
                <w:i/>
              </w:rPr>
              <w:t>Ульяновской области:</w:t>
            </w:r>
          </w:p>
          <w:p w:rsidR="00E26FF6" w:rsidRDefault="00B06549">
            <w:pPr>
              <w:ind w:left="459" w:right="181"/>
              <w:contextualSpacing/>
              <w:jc w:val="both"/>
            </w:pPr>
            <w:r>
              <w:t xml:space="preserve">- </w:t>
            </w:r>
            <w:r w:rsidRPr="00B06549">
              <w:t xml:space="preserve">&lt;…&gt; </w:t>
            </w:r>
            <w:r>
              <w:t>(доверенность № 42 от 05.07.2023),</w:t>
            </w:r>
          </w:p>
          <w:p w:rsidR="00E26FF6" w:rsidRDefault="00B06549">
            <w:pPr>
              <w:ind w:left="459" w:right="181"/>
              <w:contextualSpacing/>
              <w:jc w:val="both"/>
            </w:pPr>
            <w:r>
              <w:t xml:space="preserve"> </w:t>
            </w:r>
          </w:p>
        </w:tc>
      </w:tr>
    </w:tbl>
    <w:p w:rsidR="00E26FF6" w:rsidRDefault="00B06549">
      <w:pPr>
        <w:ind w:firstLine="720"/>
        <w:jc w:val="both"/>
        <w:sectPr w:rsidR="00E26FF6">
          <w:footerReference w:type="default" r:id="rId7"/>
          <w:pgSz w:w="11906" w:h="16838"/>
          <w:pgMar w:top="1134" w:right="850" w:bottom="1799" w:left="1134" w:header="0" w:footer="1134" w:gutter="0"/>
          <w:cols w:space="720"/>
          <w:formProt w:val="0"/>
          <w:docGrid w:linePitch="312" w:charSpace="-6145"/>
        </w:sectPr>
      </w:pPr>
      <w:r>
        <w:t>рассмотрев дело № 073/06/106-724/2023 по жалобе ИП Б</w:t>
      </w:r>
      <w:r w:rsidRPr="00B06549">
        <w:t xml:space="preserve">&lt;…&gt; </w:t>
      </w:r>
      <w:r>
        <w:t xml:space="preserve">(далее – заявитель) на положения извещения о проведении открытого конкурса в электронной форме № 0168500000623004229 (наименование объекта закупки – «Разработка проектно-сметной документации </w:t>
      </w:r>
      <w:r>
        <w:t>по благоустройству прибрежной территории «Душа Волги» в городе Сенгилей Ульяновской области»; заказчик – Муниципальное учреждение Администрация муниципального образования «</w:t>
      </w:r>
      <w:proofErr w:type="spellStart"/>
      <w:r>
        <w:t>Сенгилеевский</w:t>
      </w:r>
      <w:proofErr w:type="spellEnd"/>
      <w:r>
        <w:t xml:space="preserve"> район» Ульяновской области (далее – заказчик), уполномоченный орган - </w:t>
      </w:r>
      <w:r>
        <w:t xml:space="preserve">Агентство государственных закупок Ульяновской области (далее - уполномоченный орган); начальная (максимальная) цена контракта – 2 850 000,00 руб., срок окончания подачи заявок – 30.10.2023 в 09 час. 00 мин.) по признакам нарушения Федерального </w:t>
      </w:r>
    </w:p>
    <w:p w:rsidR="00E26FF6" w:rsidRDefault="00B06549">
      <w:pPr>
        <w:ind w:firstLine="720"/>
        <w:jc w:val="both"/>
      </w:pPr>
      <w:r>
        <w:lastRenderedPageBreak/>
        <w:t>закона «О к</w:t>
      </w:r>
      <w:r>
        <w:t>онтрактной системе в сфере закупок товаров, работ, услуг для обеспечения государственных и муниципальных нужд» от 05.04.2013 № 44-ФЗ (далее - Закон о контрактной системе) в порядке, предусмотренном главой 6 Закона о контрактной системе,</w:t>
      </w:r>
    </w:p>
    <w:p w:rsidR="00E26FF6" w:rsidRDefault="00E26FF6">
      <w:pPr>
        <w:jc w:val="center"/>
      </w:pPr>
    </w:p>
    <w:p w:rsidR="00E26FF6" w:rsidRDefault="00B06549">
      <w:pPr>
        <w:jc w:val="center"/>
        <w:rPr>
          <w:b/>
        </w:rPr>
      </w:pPr>
      <w:r>
        <w:rPr>
          <w:b/>
        </w:rPr>
        <w:t>УСТАНОВИЛА:</w:t>
      </w:r>
    </w:p>
    <w:p w:rsidR="00E26FF6" w:rsidRDefault="00E26FF6">
      <w:pPr>
        <w:jc w:val="center"/>
      </w:pPr>
    </w:p>
    <w:p w:rsidR="00E26FF6" w:rsidRDefault="00B06549">
      <w:pPr>
        <w:ind w:firstLine="720"/>
        <w:jc w:val="both"/>
      </w:pPr>
      <w:proofErr w:type="spellStart"/>
      <w:r>
        <w:t>Вх</w:t>
      </w:r>
      <w:proofErr w:type="spellEnd"/>
      <w:r>
        <w:t>. №</w:t>
      </w:r>
      <w:r>
        <w:t xml:space="preserve"> 6698-ЭП/23 от 30.10.2023 (дата размещения в ЕИС – 30.10.2023) в Ульяновское УФАС России поступила жалоба ИП </w:t>
      </w:r>
      <w:proofErr w:type="gramStart"/>
      <w:r>
        <w:t>Б</w:t>
      </w:r>
      <w:r w:rsidRPr="00B06549">
        <w:t>&lt;</w:t>
      </w:r>
      <w:proofErr w:type="gramEnd"/>
      <w:r w:rsidRPr="00B06549">
        <w:t>…&gt;</w:t>
      </w:r>
      <w:r>
        <w:t>на положения извещения о проведении открытого конкурса в электронной форме № 0168500000623004229.</w:t>
      </w:r>
    </w:p>
    <w:p w:rsidR="00E26FF6" w:rsidRDefault="00B06549">
      <w:pPr>
        <w:ind w:firstLine="720"/>
        <w:jc w:val="both"/>
      </w:pPr>
      <w:r>
        <w:t>Содержание жалобы содержит указание</w:t>
      </w:r>
      <w:r>
        <w:t xml:space="preserve"> на следующее.</w:t>
      </w:r>
    </w:p>
    <w:p w:rsidR="00E26FF6" w:rsidRDefault="00B06549">
      <w:pPr>
        <w:ind w:firstLine="720"/>
        <w:jc w:val="both"/>
      </w:pPr>
      <w:r>
        <w:t xml:space="preserve">По мнению заявителя, установленный заказчиком порядок оценки заявок на участие </w:t>
      </w:r>
      <w:proofErr w:type="gramStart"/>
      <w:r>
        <w:t>в конкурсе</w:t>
      </w:r>
      <w:proofErr w:type="gramEnd"/>
      <w:r>
        <w:t xml:space="preserve"> не соответствует требованиям законодательства о контрактной системе, поскольку заказчик установил сопоставимый характер оцениваемого опыта не раскрываю</w:t>
      </w:r>
      <w:r>
        <w:t>щий содержание критерия, и необходимо установить более конкретный предмет оцениваемых контрактов.</w:t>
      </w:r>
    </w:p>
    <w:p w:rsidR="00E26FF6" w:rsidRDefault="00E26FF6">
      <w:pPr>
        <w:ind w:firstLine="720"/>
        <w:jc w:val="both"/>
      </w:pPr>
    </w:p>
    <w:p w:rsidR="00E26FF6" w:rsidRDefault="00B06549">
      <w:pPr>
        <w:ind w:firstLine="720"/>
        <w:jc w:val="both"/>
      </w:pPr>
      <w:proofErr w:type="spellStart"/>
      <w:r>
        <w:t>Вх</w:t>
      </w:r>
      <w:proofErr w:type="spellEnd"/>
      <w:r>
        <w:t xml:space="preserve">. № 6847-ЭП/23 и </w:t>
      </w:r>
      <w:proofErr w:type="spellStart"/>
      <w:r>
        <w:t>вх</w:t>
      </w:r>
      <w:proofErr w:type="spellEnd"/>
      <w:r>
        <w:t>. № 6848-ЭП/23 от 03.11.2023 в Ульяновское УФАС России от уполномоченного органа и заказчика, соответственно, поступили возражения на жа</w:t>
      </w:r>
      <w:r>
        <w:t>лобу, содержащие указание, в том числе, на следующее.</w:t>
      </w:r>
    </w:p>
    <w:p w:rsidR="00E26FF6" w:rsidRDefault="00B06549">
      <w:pPr>
        <w:ind w:firstLine="720"/>
        <w:jc w:val="both"/>
      </w:pPr>
      <w:r>
        <w:t>Постановление Правительства РФ от 31.12.2021 № 2604 предусматривает, что предметом оценки должны быть договоры (контракты) сопоставимые с предметом заключаемого по итогам закупки контрактом. Учитывая, ч</w:t>
      </w:r>
      <w:r>
        <w:t>то объектом закупки является выполнение работ по проектированию, установленный порядок оценки не нарушает требований законодательства о контрактной системе.</w:t>
      </w:r>
    </w:p>
    <w:p w:rsidR="00E26FF6" w:rsidRDefault="00E26FF6">
      <w:pPr>
        <w:ind w:firstLine="720"/>
        <w:jc w:val="both"/>
      </w:pPr>
    </w:p>
    <w:p w:rsidR="00E26FF6" w:rsidRDefault="00B06549">
      <w:pPr>
        <w:ind w:firstLine="720"/>
        <w:jc w:val="both"/>
      </w:pPr>
      <w:r>
        <w:t>На заседании Комиссии 03.11.2023, проводимом в дистанционном режиме, представитель уполномоченного</w:t>
      </w:r>
      <w:r>
        <w:t xml:space="preserve"> органа с доводами жалобы не согласилась, поддержала представленные письменные возражения, в рассмотрении жалобы объявлялся перерыв до 14:15 07.11.2023 для документального анализа материалов по делу.</w:t>
      </w:r>
    </w:p>
    <w:p w:rsidR="00E26FF6" w:rsidRDefault="00E26FF6">
      <w:pPr>
        <w:ind w:firstLine="720"/>
        <w:jc w:val="both"/>
      </w:pPr>
    </w:p>
    <w:p w:rsidR="00E26FF6" w:rsidRDefault="00B06549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было установлено сле</w:t>
      </w:r>
      <w:r>
        <w:t>дующее.</w:t>
      </w:r>
    </w:p>
    <w:p w:rsidR="00E26FF6" w:rsidRDefault="00B06549">
      <w:pPr>
        <w:ind w:firstLine="720"/>
        <w:jc w:val="both"/>
      </w:pPr>
      <w:r>
        <w:t>В единой информационной системе (</w:t>
      </w:r>
      <w:hyperlink r:id="rId8">
        <w:r>
          <w:rPr>
            <w:lang w:eastAsia="ru-RU" w:bidi="ar-SA"/>
          </w:rPr>
          <w:t>www.zakupki.gov.ru</w:t>
        </w:r>
      </w:hyperlink>
      <w:r>
        <w:t xml:space="preserve">) 13.10.2023 было опубликовано извещение о проведении открытого конкурса в электронной форме № 0168500000623004229, наименование объекта закупки – </w:t>
      </w:r>
      <w:r>
        <w:t>«Разработка проектно-сметной документации по благоустройству прибрежной территории «Душа Волги» в городе Сенгилей Ульяновской области» (начальная (максимальная) цена контракта – 2 850 000,00 руб.).</w:t>
      </w:r>
    </w:p>
    <w:p w:rsidR="00E26FF6" w:rsidRDefault="00B06549">
      <w:pPr>
        <w:ind w:firstLine="720"/>
        <w:jc w:val="both"/>
      </w:pPr>
      <w:r>
        <w:t xml:space="preserve">Согласно </w:t>
      </w:r>
      <w:proofErr w:type="gramStart"/>
      <w:r>
        <w:t>протоколу рассмотрения и оценки вторых частей зая</w:t>
      </w:r>
      <w:r>
        <w:t>вок</w:t>
      </w:r>
      <w:proofErr w:type="gramEnd"/>
      <w:r>
        <w:t xml:space="preserve"> на участие в открытом конкурсе в электронной форме от 01.11.2023 на участие в указанной закупке поступило 5 заявок, которые были признаны соответствующими, произведена оценка.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протоколом подведения итогов определения поставщика (подряд</w:t>
      </w:r>
      <w:r>
        <w:rPr>
          <w:iCs/>
        </w:rPr>
        <w:t>чика, исполнителя) от 02.11.2023 заявки всех участников были признаны соответствующими, определен победитель.</w:t>
      </w:r>
    </w:p>
    <w:p w:rsidR="00E26FF6" w:rsidRDefault="00E26FF6">
      <w:pPr>
        <w:tabs>
          <w:tab w:val="left" w:pos="993"/>
        </w:tabs>
        <w:ind w:firstLine="720"/>
        <w:jc w:val="both"/>
        <w:rPr>
          <w:iCs/>
        </w:rPr>
      </w:pP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Рассмотрев представленные материалы, Комиссия приняла решение признать жалобу ИП </w:t>
      </w:r>
      <w:proofErr w:type="gramStart"/>
      <w:r>
        <w:rPr>
          <w:iCs/>
        </w:rPr>
        <w:t>Б</w:t>
      </w:r>
      <w:r w:rsidRPr="00B06549">
        <w:rPr>
          <w:iCs/>
        </w:rPr>
        <w:t>&lt;</w:t>
      </w:r>
      <w:proofErr w:type="gramEnd"/>
      <w:r w:rsidRPr="00B06549">
        <w:rPr>
          <w:iCs/>
        </w:rPr>
        <w:t>…&gt;</w:t>
      </w:r>
      <w:r>
        <w:rPr>
          <w:iCs/>
        </w:rPr>
        <w:t>. необоснованной. При этом Комиссия исходила из след</w:t>
      </w:r>
      <w:r>
        <w:rPr>
          <w:iCs/>
        </w:rPr>
        <w:t>ующего.</w:t>
      </w:r>
    </w:p>
    <w:p w:rsidR="00E26FF6" w:rsidRDefault="00E26FF6">
      <w:pPr>
        <w:tabs>
          <w:tab w:val="left" w:pos="993"/>
        </w:tabs>
        <w:ind w:firstLine="720"/>
        <w:jc w:val="both"/>
        <w:rPr>
          <w:iCs/>
        </w:rPr>
      </w:pP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</w:t>
      </w:r>
      <w:r>
        <w:rPr>
          <w:iCs/>
        </w:rPr>
        <w:t>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iCs/>
        </w:rPr>
        <w:t>Согласно пункту 11 части 1 статьи 42 Закона о контрактной системе при осуществлении закупки путем проведения открытых кон</w:t>
      </w:r>
      <w:r>
        <w:rPr>
          <w:iCs/>
        </w:rPr>
        <w:t xml:space="preserve">курентных способов заказчик формирует с использованием единой информационной системы, подписывает усиленной электронной </w:t>
      </w:r>
      <w:r>
        <w:rPr>
          <w:iCs/>
        </w:rPr>
        <w:lastRenderedPageBreak/>
        <w:t>подписью лица, имеющего право действовать от имени заказчика, и размещает в единой информационной системе извещение об осуществлении зак</w:t>
      </w:r>
      <w:r>
        <w:rPr>
          <w:iCs/>
        </w:rPr>
        <w:t>упки, содержащее, в том числе,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пунктом 4 части 2 статьи 42 Закона о контрактной системе извещение об осуществ</w:t>
      </w:r>
      <w:r>
        <w:rPr>
          <w:iCs/>
        </w:rPr>
        <w:t>лении закупки, если иное не предусмотрено Законом о контрактной системе, должно содержать электронные документы, в том числе порядок рассмотрения и оценки заявок на участие в конкурсах в соответствии с Законом о контрактной системе.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Приложением к извещению</w:t>
      </w:r>
      <w:r>
        <w:rPr>
          <w:iCs/>
        </w:rPr>
        <w:t xml:space="preserve"> № 0168500000623004229 является, в том числе, файл «Порядок рассмотрения и оценки заявок на участие в конкурсе».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iCs/>
        </w:rPr>
        <w:t>Пунктом 4 части 1 статьи 32 Закона о контрактной системе установлено, что для оценки заявок участников закупки заказчик использует, в том числе</w:t>
      </w:r>
      <w:r>
        <w:rPr>
          <w:iCs/>
        </w:rPr>
        <w:t xml:space="preserve">, такой критерий как </w:t>
      </w:r>
      <w:r>
        <w:rPr>
          <w:i/>
          <w:iCs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</w:t>
      </w:r>
      <w:r>
        <w:rPr>
          <w:i/>
          <w:iCs/>
        </w:rPr>
        <w:t>епутации, специалистов и иных работников определенного уровня квалификации.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bookmarkStart w:id="0" w:name="_GoBack"/>
      <w:bookmarkEnd w:id="0"/>
      <w:r>
        <w:rPr>
          <w:iCs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</w:t>
      </w:r>
      <w:r>
        <w:rPr>
          <w:iCs/>
        </w:rPr>
        <w:t>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</w:t>
      </w:r>
      <w:r>
        <w:rPr>
          <w:iCs/>
        </w:rPr>
        <w:t>азанные в пунктах 1 и 2 части 1 статьи 32 Закона о контрактной системе.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указанной нормой Закона о контрактной системе принято постановление Правительства РФ от 31.12.2021 г. № 2604 «Об оценке заявок на участие в закупке товаров, работ, усл</w:t>
      </w:r>
      <w:r>
        <w:rPr>
          <w:iCs/>
        </w:rPr>
        <w:t>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</w:t>
      </w:r>
      <w:r>
        <w:rPr>
          <w:iCs/>
        </w:rPr>
        <w:t>ства Российской Федерации» (далее – Постановление № 2604).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пункту 2 Постановления № 2604 «оценка заявок</w:t>
      </w:r>
      <w:proofErr w:type="gramStart"/>
      <w:r>
        <w:rPr>
          <w:iCs/>
        </w:rPr>
        <w:t>»</w:t>
      </w:r>
      <w:proofErr w:type="gramEnd"/>
      <w:r>
        <w:rPr>
          <w:iCs/>
        </w:rPr>
        <w:t xml:space="preserve"> - действия членов комиссии по осуществлению закупок по присвоению в случаях, предусмотренных Законом о контрактной системе, и в соответствии с</w:t>
      </w:r>
      <w:r>
        <w:rPr>
          <w:iCs/>
        </w:rPr>
        <w:t xml:space="preserve"> Положением баллов заявкам (частям заявок) на основании информации и документов участников закупок.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подпунктом «г» пункта 3 Положения для оценки заявок в соответствии с Положением применяется критерий «Квалификация участников закупки».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</w:t>
      </w:r>
      <w:r>
        <w:rPr>
          <w:iCs/>
        </w:rPr>
        <w:t>ласно подпункту «а» пункта 8 Положения в случае применения показателей оценки по критерию оценки, предусмотренному в том числе, подпунктом «г» пункта 3 Положения применяются детализирующие показатели.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Пунктом 24 Постановления № 2604 предусмотрено, что для </w:t>
      </w:r>
      <w:r>
        <w:rPr>
          <w:iCs/>
        </w:rPr>
        <w:t>оценки заявок по критерию оценки «Квалификация участников закупки» могут применяться, если иное не предусмотрено Постановлением № 2604, один или несколько из следующих показателей оценки: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а) наличие у участников закупки финансовых ресурсов;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б) наличие у уч</w:t>
      </w:r>
      <w:r>
        <w:rPr>
          <w:iCs/>
        </w:rPr>
        <w:t>астников закупки на праве собственности или ином законном основании оборудования и других материальных ресурсов;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i/>
          <w:iCs/>
        </w:rPr>
        <w:t xml:space="preserve">в) наличие у участников закупки опыта поставки товара, выполнения работы, оказания услуги, </w:t>
      </w:r>
      <w:r>
        <w:rPr>
          <w:i/>
          <w:iCs/>
          <w:u w:val="single"/>
        </w:rPr>
        <w:t>связанного с предметом контракта</w:t>
      </w:r>
      <w:r>
        <w:rPr>
          <w:i/>
          <w:iCs/>
        </w:rPr>
        <w:t>;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г) наличие у </w:t>
      </w:r>
      <w:r>
        <w:rPr>
          <w:iCs/>
        </w:rPr>
        <w:t>участников закупки деловой репутации;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д) наличие у участников закупки специалистов и иных работников определенного уровня квалификации.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пунктом 25 Постановления № 2604 для оценки заявок по показателям оценки, предусмотренным пунктом 24 Пос</w:t>
      </w:r>
      <w:r>
        <w:rPr>
          <w:iCs/>
        </w:rPr>
        <w:t>тановления № 2604, применяются детализирующие показатели.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iCs/>
        </w:rPr>
        <w:t xml:space="preserve">При этом пунктом 26 Постановления № 2604 предусмотрено, что оценка заявок по критерию оценки «квалификация участников закупки» осуществляется с учетом требований </w:t>
      </w:r>
      <w:r>
        <w:rPr>
          <w:iCs/>
        </w:rPr>
        <w:lastRenderedPageBreak/>
        <w:t>раздела 4 Постановления № 2604 в пор</w:t>
      </w:r>
      <w:r>
        <w:rPr>
          <w:iCs/>
        </w:rPr>
        <w:t>ядке, установленном пунктами 20 - 23 Постановления № 2604 для оценки заявок по критерию оценки «характеристики объекта закупки».</w:t>
      </w:r>
    </w:p>
    <w:p w:rsidR="00E26FF6" w:rsidRDefault="00B0654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Подпунктом «в» пункта 24 Постановления № 2604 установлено, что для оценки заявок по критерию оценки «Квалификация участников за</w:t>
      </w:r>
      <w:r>
        <w:rPr>
          <w:iCs/>
        </w:rPr>
        <w:t>купки» может применяться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подпунктом «а» пункта 28 Постановления № 2604 в случае применения показа</w:t>
      </w:r>
      <w:r>
        <w:rPr>
          <w:iCs/>
        </w:rPr>
        <w:t xml:space="preserve">теля оценки, предусмотренного подпунктом «в» пункта 24 Постановления № 2604, применяются один или несколько из следующих детализирующих показателей оценки: </w:t>
      </w:r>
      <w:r>
        <w:rPr>
          <w:i/>
          <w:iCs/>
        </w:rPr>
        <w:t>общая цена исполненных участником закупки договоров</w:t>
      </w:r>
      <w:r>
        <w:rPr>
          <w:iCs/>
        </w:rPr>
        <w:t>; общее количество исполненных участником закупки</w:t>
      </w:r>
      <w:r>
        <w:rPr>
          <w:iCs/>
        </w:rPr>
        <w:t xml:space="preserve"> договоров; </w:t>
      </w:r>
      <w:r>
        <w:rPr>
          <w:i/>
          <w:iCs/>
        </w:rPr>
        <w:t>наибольшая цена одного из исполненных участником закупки договоров.</w:t>
      </w:r>
    </w:p>
    <w:p w:rsidR="00E26FF6" w:rsidRDefault="00B06549">
      <w:pPr>
        <w:tabs>
          <w:tab w:val="left" w:pos="993"/>
        </w:tabs>
        <w:ind w:firstLine="720"/>
        <w:jc w:val="both"/>
      </w:pPr>
      <w:r>
        <w:rPr>
          <w:shd w:val="clear" w:color="auto" w:fill="FFFFFF"/>
        </w:rPr>
        <w:t xml:space="preserve">Согласно </w:t>
      </w:r>
      <w:proofErr w:type="gramStart"/>
      <w:r>
        <w:rPr>
          <w:shd w:val="clear" w:color="auto" w:fill="FFFFFF"/>
        </w:rPr>
        <w:t>разделу</w:t>
      </w:r>
      <w:proofErr w:type="gramEnd"/>
      <w:r>
        <w:rPr>
          <w:shd w:val="clear" w:color="auto" w:fill="FFFFFF"/>
        </w:rPr>
        <w:t xml:space="preserve"> </w:t>
      </w:r>
      <w:r>
        <w:rPr>
          <w:shd w:val="clear" w:color="auto" w:fill="FFFFFF"/>
          <w:lang w:val="en-US"/>
        </w:rPr>
        <w:t>III</w:t>
      </w:r>
      <w:r>
        <w:rPr>
          <w:shd w:val="clear" w:color="auto" w:fill="FFFFFF"/>
        </w:rPr>
        <w:t xml:space="preserve"> файла «Порядок рассмотрения и оценки заявок на участие в конкурсе» извещения № 0168500000623004229 предметом оценки по детализирующему показателю «Наличие </w:t>
      </w:r>
      <w:r>
        <w:rPr>
          <w:shd w:val="clear" w:color="auto" w:fill="FFFFFF"/>
        </w:rPr>
        <w:t>у участников закупки опыта поставки товара, выполнения работы, оказания услуги, связанного с предметом контракта» (значимость показателя оценки, 40 %) являются общая цена исполненных участником закупки договоров (40 %) и наибольшая цена одного из исполненн</w:t>
      </w:r>
      <w:r>
        <w:rPr>
          <w:shd w:val="clear" w:color="auto" w:fill="FFFFFF"/>
        </w:rPr>
        <w:t>ых участником закупки договоров (60 %). При этом, заказчиком установлено, что в рамках детализирующих показателей «Общая цена исполненных участником закупки договоров» и «Наибольшая цена одного из исполненных участником закупки договоров» оцениваются испол</w:t>
      </w:r>
      <w:r>
        <w:rPr>
          <w:shd w:val="clear" w:color="auto" w:fill="FFFFFF"/>
        </w:rPr>
        <w:t xml:space="preserve">ненные участником закупки договоры, соответствующий следующим условиям п. 1 и 2 раздела </w:t>
      </w:r>
      <w:r>
        <w:rPr>
          <w:shd w:val="clear" w:color="auto" w:fill="FFFFFF"/>
          <w:lang w:val="en-US"/>
        </w:rPr>
        <w:t>III</w:t>
      </w:r>
      <w:r>
        <w:rPr>
          <w:shd w:val="clear" w:color="auto" w:fill="FFFFFF"/>
        </w:rPr>
        <w:t xml:space="preserve"> порядка оценки): </w:t>
      </w:r>
      <w:r>
        <w:rPr>
          <w:iCs/>
        </w:rPr>
        <w:t>«Предмет договора (договоров), оцениваемого по детализирующему показателю, сопоставимый с предметом контракта, заключаемого по результатам определе</w:t>
      </w:r>
      <w:r>
        <w:rPr>
          <w:iCs/>
        </w:rPr>
        <w:t xml:space="preserve">ния поставщика (подрядчика, исполнителя): </w:t>
      </w:r>
      <w:r>
        <w:rPr>
          <w:b/>
          <w:iCs/>
        </w:rPr>
        <w:t>выполнение работ по проектированию»</w:t>
      </w:r>
      <w:r>
        <w:rPr>
          <w:iCs/>
        </w:rPr>
        <w:t>.</w:t>
      </w:r>
    </w:p>
    <w:p w:rsidR="00E26FF6" w:rsidRDefault="00B06549">
      <w:pPr>
        <w:ind w:firstLine="720"/>
        <w:jc w:val="both"/>
      </w:pPr>
      <w:r>
        <w:rPr>
          <w:iCs/>
        </w:rPr>
        <w:t>Абзацем 2 подпункта «в» пункта 28 Постановления № 2604 определено, что порядком рассмотрения и оценки заявок на участие в конкурсе, являющимся приложением № 1 к Постановлению № 2604, устанавливается предмет договора (договоров), оцениваемого по каждому дет</w:t>
      </w:r>
      <w:r>
        <w:rPr>
          <w:iCs/>
        </w:rPr>
        <w:t xml:space="preserve">ализирующему показателю, </w:t>
      </w:r>
      <w:r>
        <w:rPr>
          <w:iCs/>
          <w:u w:val="single"/>
        </w:rPr>
        <w:t>сопоставимый с предметом контракта, заключаемого по результатам определения поставщика (подрядчика, исполнителя).</w:t>
      </w:r>
    </w:p>
    <w:p w:rsidR="00E26FF6" w:rsidRDefault="00B06549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При этом Законом о контрактной системе и Постановлением № 2604 не предусмотрено ограничений по определению заказчиком</w:t>
      </w:r>
      <w:r>
        <w:rPr>
          <w:shd w:val="clear" w:color="auto" w:fill="FFFFFF"/>
        </w:rPr>
        <w:t xml:space="preserve"> сопоставимости оцениваемых по детализирующему показателю договоров с предметом контракта, заключаемого по результатам определения исполнителя. Учитывая, что объектом закупки является выполнение работ по проектированию, установленный порядок оценки не нару</w:t>
      </w:r>
      <w:r>
        <w:rPr>
          <w:shd w:val="clear" w:color="auto" w:fill="FFFFFF"/>
        </w:rPr>
        <w:t xml:space="preserve">шает положений законодательства о контрактной системе и жалоба ИП </w:t>
      </w:r>
      <w:proofErr w:type="gramStart"/>
      <w:r>
        <w:rPr>
          <w:shd w:val="clear" w:color="auto" w:fill="FFFFFF"/>
        </w:rPr>
        <w:t>Б</w:t>
      </w:r>
      <w:r w:rsidRPr="00B06549">
        <w:rPr>
          <w:shd w:val="clear" w:color="auto" w:fill="FFFFFF"/>
        </w:rPr>
        <w:t>&lt;</w:t>
      </w:r>
      <w:proofErr w:type="gramEnd"/>
      <w:r w:rsidRPr="00B06549">
        <w:rPr>
          <w:shd w:val="clear" w:color="auto" w:fill="FFFFFF"/>
        </w:rPr>
        <w:t>…&gt;</w:t>
      </w:r>
      <w:r>
        <w:rPr>
          <w:shd w:val="clear" w:color="auto" w:fill="FFFFFF"/>
        </w:rPr>
        <w:t>является необоснованной.</w:t>
      </w:r>
    </w:p>
    <w:p w:rsidR="00E26FF6" w:rsidRDefault="00E26FF6">
      <w:pPr>
        <w:ind w:firstLine="720"/>
        <w:jc w:val="both"/>
      </w:pPr>
    </w:p>
    <w:p w:rsidR="00E26FF6" w:rsidRDefault="00B06549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E26FF6" w:rsidRDefault="00E26FF6">
      <w:pPr>
        <w:jc w:val="center"/>
      </w:pPr>
    </w:p>
    <w:p w:rsidR="00E26FF6" w:rsidRDefault="00B06549">
      <w:pPr>
        <w:jc w:val="center"/>
      </w:pPr>
      <w:r>
        <w:rPr>
          <w:b/>
        </w:rPr>
        <w:t>РЕШИЛА</w:t>
      </w:r>
      <w:r>
        <w:t>:</w:t>
      </w:r>
    </w:p>
    <w:p w:rsidR="00E26FF6" w:rsidRDefault="00E26FF6">
      <w:pPr>
        <w:jc w:val="center"/>
      </w:pPr>
    </w:p>
    <w:p w:rsidR="00E26FF6" w:rsidRDefault="00B06549">
      <w:pPr>
        <w:tabs>
          <w:tab w:val="left" w:pos="0"/>
          <w:tab w:val="left" w:pos="993"/>
        </w:tabs>
        <w:ind w:firstLine="720"/>
        <w:jc w:val="both"/>
      </w:pPr>
      <w:r>
        <w:t xml:space="preserve">Признать жалобу ИП </w:t>
      </w:r>
      <w:proofErr w:type="gramStart"/>
      <w:r>
        <w:t>Б</w:t>
      </w:r>
      <w:r w:rsidRPr="00B06549">
        <w:t>&lt;</w:t>
      </w:r>
      <w:proofErr w:type="gramEnd"/>
      <w:r w:rsidRPr="00B06549">
        <w:t>…&gt;</w:t>
      </w:r>
      <w:r>
        <w:t>необоснованной.</w:t>
      </w:r>
    </w:p>
    <w:tbl>
      <w:tblPr>
        <w:tblW w:w="9855" w:type="dxa"/>
        <w:tblInd w:w="-217" w:type="dxa"/>
        <w:tblLayout w:type="fixed"/>
        <w:tblLook w:val="04A0" w:firstRow="1" w:lastRow="0" w:firstColumn="1" w:lastColumn="0" w:noHBand="0" w:noVBand="1"/>
      </w:tblPr>
      <w:tblGrid>
        <w:gridCol w:w="7338"/>
        <w:gridCol w:w="2517"/>
      </w:tblGrid>
      <w:tr w:rsidR="00E26FF6">
        <w:tc>
          <w:tcPr>
            <w:tcW w:w="7338" w:type="dxa"/>
          </w:tcPr>
          <w:p w:rsidR="00E26FF6" w:rsidRDefault="00E26FF6">
            <w:pPr>
              <w:tabs>
                <w:tab w:val="left" w:pos="142"/>
              </w:tabs>
              <w:ind w:left="709"/>
              <w:jc w:val="both"/>
            </w:pPr>
          </w:p>
          <w:p w:rsidR="00E26FF6" w:rsidRDefault="00E26FF6">
            <w:pPr>
              <w:tabs>
                <w:tab w:val="left" w:pos="142"/>
              </w:tabs>
              <w:ind w:left="709"/>
              <w:jc w:val="both"/>
            </w:pPr>
          </w:p>
          <w:p w:rsidR="00E26FF6" w:rsidRDefault="00B06549">
            <w:pPr>
              <w:tabs>
                <w:tab w:val="left" w:pos="142"/>
              </w:tabs>
              <w:ind w:left="709"/>
              <w:jc w:val="both"/>
            </w:pPr>
            <w:r>
              <w:t>Председатель комиссии:</w:t>
            </w:r>
          </w:p>
        </w:tc>
        <w:tc>
          <w:tcPr>
            <w:tcW w:w="2517" w:type="dxa"/>
          </w:tcPr>
          <w:p w:rsidR="00E26FF6" w:rsidRDefault="00E26FF6">
            <w:pPr>
              <w:tabs>
                <w:tab w:val="left" w:pos="142"/>
              </w:tabs>
              <w:ind w:firstLine="175"/>
              <w:jc w:val="both"/>
            </w:pPr>
          </w:p>
          <w:p w:rsidR="00E26FF6" w:rsidRDefault="00E26FF6">
            <w:pPr>
              <w:tabs>
                <w:tab w:val="left" w:pos="142"/>
              </w:tabs>
              <w:ind w:firstLine="175"/>
              <w:jc w:val="both"/>
            </w:pPr>
          </w:p>
          <w:p w:rsidR="00E26FF6" w:rsidRDefault="00B06549">
            <w:pPr>
              <w:tabs>
                <w:tab w:val="left" w:pos="142"/>
              </w:tabs>
              <w:ind w:firstLine="175"/>
              <w:jc w:val="both"/>
            </w:pPr>
            <w:r w:rsidRPr="00B06549">
              <w:t>&lt;…&gt;</w:t>
            </w:r>
          </w:p>
        </w:tc>
      </w:tr>
      <w:tr w:rsidR="00E26FF6">
        <w:trPr>
          <w:trHeight w:val="1285"/>
        </w:trPr>
        <w:tc>
          <w:tcPr>
            <w:tcW w:w="7338" w:type="dxa"/>
          </w:tcPr>
          <w:p w:rsidR="00E26FF6" w:rsidRDefault="00E26FF6">
            <w:pPr>
              <w:tabs>
                <w:tab w:val="left" w:pos="142"/>
              </w:tabs>
              <w:ind w:firstLine="425"/>
              <w:jc w:val="both"/>
            </w:pPr>
          </w:p>
          <w:p w:rsidR="00E26FF6" w:rsidRDefault="00B06549">
            <w:pPr>
              <w:tabs>
                <w:tab w:val="left" w:pos="142"/>
              </w:tabs>
              <w:ind w:left="709"/>
              <w:jc w:val="both"/>
            </w:pPr>
            <w:r>
              <w:t>Члены комиссии:</w:t>
            </w:r>
          </w:p>
        </w:tc>
        <w:tc>
          <w:tcPr>
            <w:tcW w:w="2517" w:type="dxa"/>
          </w:tcPr>
          <w:p w:rsidR="00E26FF6" w:rsidRDefault="00E26FF6">
            <w:pPr>
              <w:tabs>
                <w:tab w:val="left" w:pos="142"/>
              </w:tabs>
              <w:ind w:firstLine="175"/>
              <w:jc w:val="both"/>
            </w:pPr>
          </w:p>
          <w:p w:rsidR="00E26FF6" w:rsidRDefault="00B06549">
            <w:pPr>
              <w:tabs>
                <w:tab w:val="left" w:pos="142"/>
              </w:tabs>
              <w:ind w:firstLine="175"/>
              <w:jc w:val="both"/>
            </w:pPr>
            <w:r w:rsidRPr="00B06549">
              <w:t>&lt;…&gt;</w:t>
            </w:r>
          </w:p>
          <w:p w:rsidR="00E26FF6" w:rsidRDefault="00B06549">
            <w:pPr>
              <w:tabs>
                <w:tab w:val="left" w:pos="142"/>
              </w:tabs>
              <w:ind w:firstLine="175"/>
              <w:jc w:val="both"/>
            </w:pPr>
            <w:r w:rsidRPr="00B06549">
              <w:t>&lt;…&gt;</w:t>
            </w:r>
          </w:p>
        </w:tc>
      </w:tr>
    </w:tbl>
    <w:p w:rsidR="00E26FF6" w:rsidRDefault="00B06549">
      <w:pPr>
        <w:tabs>
          <w:tab w:val="left" w:pos="142"/>
          <w:tab w:val="left" w:pos="9781"/>
        </w:tabs>
        <w:ind w:firstLine="720"/>
        <w:jc w:val="both"/>
      </w:pPr>
      <w:r>
        <w:t xml:space="preserve">Решение может быть обжаловано в судебном порядке в течение трех месяцев со дня его принятия. </w:t>
      </w:r>
    </w:p>
    <w:sectPr w:rsidR="00E26FF6">
      <w:footerReference w:type="default" r:id="rId9"/>
      <w:pgSz w:w="11906" w:h="16838"/>
      <w:pgMar w:top="850" w:right="850" w:bottom="1239" w:left="1134" w:header="0" w:footer="85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06549">
      <w:r>
        <w:separator/>
      </w:r>
    </w:p>
  </w:endnote>
  <w:endnote w:type="continuationSeparator" w:id="0">
    <w:p w:rsidR="00000000" w:rsidRDefault="00B0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FF6" w:rsidRDefault="00B06549">
    <w:pPr>
      <w:pStyle w:val="ab"/>
      <w:jc w:val="right"/>
    </w:pPr>
    <w:r>
      <w:rPr>
        <w:noProof/>
        <w:lang w:eastAsia="ru-RU" w:bidi="ar-SA"/>
      </w:rPr>
      <w:drawing>
        <wp:anchor distT="0" distB="0" distL="0" distR="0" simplePos="0" relativeHeight="1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26FF6" w:rsidRDefault="00B06549">
    <w:pPr>
      <w:pStyle w:val="ab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9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26FF6" w:rsidRDefault="00B06549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2023-5550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19.05pt;height:17pt;mso-wrap-distance-left:0pt;mso-wrap-distance-right:0pt;mso-wrap-distance-top:0pt;mso-wrap-distance-bottom:0pt;margin-top:15.6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2023-5550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FF6" w:rsidRDefault="00B06549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8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26FF6" w:rsidRDefault="00B06549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2023-5550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2023-5550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06549">
      <w:r>
        <w:separator/>
      </w:r>
    </w:p>
  </w:footnote>
  <w:footnote w:type="continuationSeparator" w:id="0">
    <w:p w:rsidR="00000000" w:rsidRDefault="00B065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724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Агентство государственных закупок Ульяновской области_x000a_432027, г. Ульяновск, ул. Северный Венец, д. 28    _x000a_agz@goszakupki73.ru_x000a__x000a_Муниципальное учреждение Администрация муниципального образования «Сенгилеевский район» Ульяновской области_x000a_433380, Ульяновская обл., Сенгилеевский р-н, г. Сенгилей, пл. 1 Мая, д. 2 _x000a_sengileevsk@mail.ru_x000a__x000a_Индивидуальный предприниматель Блинова Н.А._x000a_641309, Курганская обл., Кетовский р-н, с. Чесноки, ул. Южная, д. 1, кв. 2_x000a_ 640022, Курганская обл., г. Курган, ул. Кравченко, д. 55_x000a_nadya.blinova.00@internet.ru; Blin.blin.Nadia@yandex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5550"/>
  </w:docVars>
  <w:rsids>
    <w:rsidRoot w:val="00E26FF6"/>
    <w:rsid w:val="00B06549"/>
    <w:rsid w:val="00E2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6A14D-1CB2-479A-AFD7-A38C7155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Нижний колонтитул Знак"/>
    <w:basedOn w:val="a0"/>
    <w:qFormat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1829</Words>
  <Characters>10428</Characters>
  <Application>Microsoft Office Word</Application>
  <DocSecurity>0</DocSecurity>
  <Lines>86</Lines>
  <Paragraphs>24</Paragraphs>
  <ScaleCrop>false</ScaleCrop>
  <Company/>
  <LinksUpToDate>false</LinksUpToDate>
  <CharactersWithSpaces>12233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2023-11-09T09:49:00Z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p3dr1wDBqJtXSKtp7lemdw==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