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tblLook w:val="01E0" w:firstRow="1" w:lastRow="1" w:firstColumn="1" w:lastColumn="1" w:noHBand="0" w:noVBand="0"/>
      </w:tblPr>
      <w:tblGrid>
        <w:gridCol w:w="4503"/>
        <w:gridCol w:w="5812"/>
      </w:tblGrid>
      <w:tr w:rsidR="003F6D61" w:rsidRPr="00643F18" w:rsidTr="00F3134E">
        <w:trPr>
          <w:trHeight w:val="3415"/>
        </w:trPr>
        <w:tc>
          <w:tcPr>
            <w:tcW w:w="4503" w:type="dxa"/>
          </w:tcPr>
          <w:p w:rsidR="003F6D61" w:rsidRPr="00643F18" w:rsidRDefault="003F6D61" w:rsidP="00F3134E">
            <w:pPr>
              <w:ind w:right="-908"/>
              <w:contextualSpacing/>
              <w:rPr>
                <w:sz w:val="28"/>
                <w:szCs w:val="28"/>
              </w:rPr>
            </w:pPr>
          </w:p>
        </w:tc>
        <w:tc>
          <w:tcPr>
            <w:tcW w:w="5812" w:type="dxa"/>
          </w:tcPr>
          <w:p w:rsidR="0095726A" w:rsidRPr="0095726A" w:rsidRDefault="0095726A" w:rsidP="0095726A">
            <w:pPr>
              <w:ind w:left="640" w:right="176"/>
              <w:contextualSpacing/>
              <w:rPr>
                <w:bCs/>
                <w:sz w:val="28"/>
                <w:szCs w:val="28"/>
              </w:rPr>
            </w:pPr>
          </w:p>
          <w:p w:rsidR="0022482D" w:rsidRPr="0022482D" w:rsidRDefault="0022482D" w:rsidP="0022482D">
            <w:pPr>
              <w:ind w:left="640" w:right="176"/>
              <w:contextualSpacing/>
              <w:rPr>
                <w:bCs/>
                <w:sz w:val="28"/>
                <w:szCs w:val="28"/>
              </w:rPr>
            </w:pPr>
            <w:r w:rsidRPr="0022482D">
              <w:rPr>
                <w:bCs/>
                <w:sz w:val="28"/>
                <w:szCs w:val="28"/>
              </w:rPr>
              <w:t>СПб ГКУ «Техническая дирекция государственных архивных учреждений Санкт-Петербурга»</w:t>
            </w:r>
          </w:p>
          <w:p w:rsidR="0022482D" w:rsidRPr="0022482D" w:rsidRDefault="0022482D" w:rsidP="0022482D">
            <w:pPr>
              <w:ind w:left="640" w:right="176"/>
              <w:contextualSpacing/>
              <w:rPr>
                <w:bCs/>
                <w:sz w:val="28"/>
                <w:szCs w:val="28"/>
              </w:rPr>
            </w:pPr>
            <w:r w:rsidRPr="0022482D">
              <w:rPr>
                <w:bCs/>
                <w:sz w:val="28"/>
                <w:szCs w:val="28"/>
              </w:rPr>
              <w:t>улица Таврическая, 39,</w:t>
            </w:r>
          </w:p>
          <w:p w:rsidR="0022482D" w:rsidRPr="0022482D" w:rsidRDefault="0022482D" w:rsidP="0022482D">
            <w:pPr>
              <w:ind w:left="640" w:right="176"/>
              <w:contextualSpacing/>
              <w:rPr>
                <w:bCs/>
                <w:sz w:val="28"/>
                <w:szCs w:val="28"/>
              </w:rPr>
            </w:pPr>
            <w:r w:rsidRPr="0022482D">
              <w:rPr>
                <w:bCs/>
                <w:sz w:val="28"/>
                <w:szCs w:val="28"/>
              </w:rPr>
              <w:t>Санкт-Петербург, 191015</w:t>
            </w:r>
          </w:p>
          <w:p w:rsidR="0022482D" w:rsidRPr="0022482D" w:rsidRDefault="0022482D" w:rsidP="0022482D">
            <w:pPr>
              <w:ind w:left="640" w:right="176"/>
              <w:contextualSpacing/>
              <w:rPr>
                <w:bCs/>
                <w:sz w:val="28"/>
                <w:szCs w:val="28"/>
              </w:rPr>
            </w:pPr>
            <w:r w:rsidRPr="0022482D">
              <w:rPr>
                <w:bCs/>
                <w:sz w:val="28"/>
                <w:szCs w:val="28"/>
              </w:rPr>
              <w:t>тел.: 7-812-2415671</w:t>
            </w:r>
          </w:p>
          <w:p w:rsidR="0022482D" w:rsidRPr="0022482D" w:rsidRDefault="0022482D" w:rsidP="0022482D">
            <w:pPr>
              <w:ind w:left="640" w:right="176"/>
              <w:contextualSpacing/>
              <w:rPr>
                <w:bCs/>
                <w:sz w:val="28"/>
                <w:szCs w:val="28"/>
              </w:rPr>
            </w:pPr>
          </w:p>
          <w:p w:rsidR="0022482D" w:rsidRPr="0022482D" w:rsidRDefault="0022482D" w:rsidP="0022482D">
            <w:pPr>
              <w:ind w:left="640" w:right="176"/>
              <w:contextualSpacing/>
              <w:rPr>
                <w:bCs/>
                <w:sz w:val="28"/>
                <w:szCs w:val="28"/>
              </w:rPr>
            </w:pPr>
            <w:r w:rsidRPr="0022482D">
              <w:rPr>
                <w:bCs/>
                <w:sz w:val="28"/>
                <w:szCs w:val="28"/>
              </w:rPr>
              <w:t>ЭТП ТЭК-Торг</w:t>
            </w:r>
          </w:p>
          <w:p w:rsidR="0022482D" w:rsidRPr="0022482D" w:rsidRDefault="0022482D" w:rsidP="0022482D">
            <w:pPr>
              <w:ind w:left="640" w:right="176"/>
              <w:contextualSpacing/>
              <w:rPr>
                <w:bCs/>
                <w:sz w:val="28"/>
                <w:szCs w:val="28"/>
              </w:rPr>
            </w:pPr>
            <w:r w:rsidRPr="0022482D">
              <w:rPr>
                <w:bCs/>
                <w:sz w:val="28"/>
                <w:szCs w:val="28"/>
              </w:rPr>
              <w:t>Гамсоновский пер., д. 5, стр. 2, 5-ый этаж, пом. VII,</w:t>
            </w:r>
          </w:p>
          <w:p w:rsidR="0022482D" w:rsidRPr="0022482D" w:rsidRDefault="0022482D" w:rsidP="0022482D">
            <w:pPr>
              <w:ind w:left="640" w:right="176"/>
              <w:contextualSpacing/>
              <w:rPr>
                <w:bCs/>
                <w:sz w:val="28"/>
                <w:szCs w:val="28"/>
              </w:rPr>
            </w:pPr>
            <w:r w:rsidRPr="0022482D">
              <w:rPr>
                <w:bCs/>
                <w:sz w:val="28"/>
                <w:szCs w:val="28"/>
              </w:rPr>
              <w:t>Москва, 115191</w:t>
            </w:r>
          </w:p>
          <w:p w:rsidR="0022482D" w:rsidRPr="0022482D" w:rsidRDefault="0022482D" w:rsidP="0022482D">
            <w:pPr>
              <w:ind w:left="640" w:right="176"/>
              <w:contextualSpacing/>
              <w:rPr>
                <w:bCs/>
                <w:sz w:val="28"/>
                <w:szCs w:val="28"/>
              </w:rPr>
            </w:pPr>
            <w:r w:rsidRPr="0022482D">
              <w:rPr>
                <w:bCs/>
                <w:sz w:val="28"/>
                <w:szCs w:val="28"/>
              </w:rPr>
              <w:t>факс: +7 (495) 734-81-18</w:t>
            </w:r>
          </w:p>
          <w:p w:rsidR="0022482D" w:rsidRPr="0022482D" w:rsidRDefault="0022482D" w:rsidP="0022482D">
            <w:pPr>
              <w:ind w:left="640" w:right="176"/>
              <w:contextualSpacing/>
              <w:rPr>
                <w:bCs/>
                <w:sz w:val="28"/>
                <w:szCs w:val="28"/>
              </w:rPr>
            </w:pPr>
          </w:p>
          <w:p w:rsidR="0022482D" w:rsidRPr="0022482D" w:rsidRDefault="0022482D" w:rsidP="0022482D">
            <w:pPr>
              <w:ind w:left="640" w:right="176"/>
              <w:contextualSpacing/>
              <w:rPr>
                <w:bCs/>
                <w:sz w:val="28"/>
                <w:szCs w:val="28"/>
              </w:rPr>
            </w:pPr>
            <w:r w:rsidRPr="0022482D">
              <w:rPr>
                <w:bCs/>
                <w:sz w:val="28"/>
                <w:szCs w:val="28"/>
              </w:rPr>
              <w:t>ООО «БизнесСервисГрупп»</w:t>
            </w:r>
          </w:p>
          <w:p w:rsidR="0022482D" w:rsidRPr="0022482D" w:rsidRDefault="0022482D" w:rsidP="0022482D">
            <w:pPr>
              <w:ind w:left="640" w:right="176"/>
              <w:contextualSpacing/>
              <w:rPr>
                <w:bCs/>
                <w:sz w:val="28"/>
                <w:szCs w:val="28"/>
              </w:rPr>
            </w:pPr>
            <w:r w:rsidRPr="0022482D">
              <w:rPr>
                <w:bCs/>
                <w:sz w:val="28"/>
                <w:szCs w:val="28"/>
              </w:rPr>
              <w:t>Большой Смоленский пр., д. 10, лит. А, пом. 113 Н,</w:t>
            </w:r>
          </w:p>
          <w:p w:rsidR="0022482D" w:rsidRPr="0022482D" w:rsidRDefault="0022482D" w:rsidP="0022482D">
            <w:pPr>
              <w:ind w:left="640" w:right="176"/>
              <w:contextualSpacing/>
              <w:rPr>
                <w:bCs/>
                <w:sz w:val="28"/>
                <w:szCs w:val="28"/>
              </w:rPr>
            </w:pPr>
            <w:r w:rsidRPr="0022482D">
              <w:rPr>
                <w:bCs/>
                <w:sz w:val="28"/>
                <w:szCs w:val="28"/>
              </w:rPr>
              <w:t>Санкт-Петербург, 192029</w:t>
            </w:r>
          </w:p>
          <w:p w:rsidR="0022482D" w:rsidRPr="0022482D" w:rsidRDefault="0022482D" w:rsidP="0022482D">
            <w:pPr>
              <w:ind w:left="640" w:right="176"/>
              <w:contextualSpacing/>
              <w:rPr>
                <w:bCs/>
                <w:sz w:val="28"/>
                <w:szCs w:val="28"/>
              </w:rPr>
            </w:pPr>
            <w:r w:rsidRPr="0022482D">
              <w:rPr>
                <w:bCs/>
                <w:sz w:val="28"/>
                <w:szCs w:val="28"/>
              </w:rPr>
              <w:t>тел.: 8-812-7025825</w:t>
            </w:r>
          </w:p>
          <w:p w:rsidR="00CE3C33" w:rsidRPr="00CE3C33" w:rsidRDefault="00CE3C33" w:rsidP="00D14F3F">
            <w:pPr>
              <w:ind w:left="640" w:right="176"/>
              <w:contextualSpacing/>
              <w:rPr>
                <w:bCs/>
                <w:sz w:val="28"/>
                <w:szCs w:val="28"/>
              </w:rPr>
            </w:pPr>
          </w:p>
          <w:p w:rsidR="003F6D61" w:rsidRPr="00A110C7" w:rsidRDefault="003F6D61" w:rsidP="00F3134E">
            <w:pPr>
              <w:ind w:left="640" w:right="176"/>
              <w:contextualSpacing/>
              <w:rPr>
                <w:bCs/>
                <w:sz w:val="28"/>
                <w:szCs w:val="28"/>
              </w:rPr>
            </w:pPr>
          </w:p>
          <w:p w:rsidR="003F6D61" w:rsidRPr="00FB6B74" w:rsidRDefault="003F6D61" w:rsidP="00F3134E">
            <w:pPr>
              <w:ind w:left="640" w:right="176"/>
              <w:contextualSpacing/>
              <w:rPr>
                <w:bCs/>
                <w:sz w:val="28"/>
                <w:szCs w:val="28"/>
              </w:rPr>
            </w:pPr>
          </w:p>
          <w:p w:rsidR="003F6D61" w:rsidRPr="00643F18" w:rsidRDefault="003F6D61" w:rsidP="00F3134E">
            <w:pPr>
              <w:ind w:left="640" w:right="176"/>
              <w:contextualSpacing/>
              <w:rPr>
                <w:sz w:val="28"/>
                <w:szCs w:val="28"/>
              </w:rPr>
            </w:pPr>
          </w:p>
        </w:tc>
      </w:tr>
    </w:tbl>
    <w:p w:rsidR="003F6D61" w:rsidRDefault="003F6D61" w:rsidP="003F6D61">
      <w:pPr>
        <w:contextualSpacing/>
        <w:outlineLvl w:val="0"/>
        <w:rPr>
          <w:sz w:val="28"/>
          <w:szCs w:val="28"/>
        </w:rPr>
      </w:pPr>
    </w:p>
    <w:p w:rsidR="003F6D61" w:rsidRPr="00643F18" w:rsidRDefault="003F6D61" w:rsidP="003F6D61">
      <w:pPr>
        <w:contextualSpacing/>
        <w:outlineLvl w:val="0"/>
        <w:rPr>
          <w:sz w:val="28"/>
          <w:szCs w:val="28"/>
        </w:rPr>
      </w:pPr>
    </w:p>
    <w:p w:rsidR="003F6D61" w:rsidRPr="00643F18" w:rsidRDefault="003F6D61" w:rsidP="003F6D61">
      <w:pPr>
        <w:contextualSpacing/>
        <w:jc w:val="center"/>
        <w:outlineLvl w:val="0"/>
        <w:rPr>
          <w:sz w:val="28"/>
          <w:szCs w:val="28"/>
        </w:rPr>
      </w:pPr>
      <w:r w:rsidRPr="00643F18">
        <w:rPr>
          <w:sz w:val="28"/>
          <w:szCs w:val="28"/>
        </w:rPr>
        <w:t>РЕШЕНИЕ</w:t>
      </w:r>
    </w:p>
    <w:p w:rsidR="003F6D61" w:rsidRPr="00C37CE2" w:rsidRDefault="003F6D61" w:rsidP="003F6D61">
      <w:pPr>
        <w:contextualSpacing/>
        <w:jc w:val="center"/>
        <w:rPr>
          <w:sz w:val="28"/>
          <w:szCs w:val="28"/>
        </w:rPr>
      </w:pPr>
      <w:r w:rsidRPr="00643F18">
        <w:rPr>
          <w:sz w:val="28"/>
          <w:szCs w:val="28"/>
        </w:rPr>
        <w:t>о нарушении законод</w:t>
      </w:r>
      <w:r w:rsidRPr="00C37CE2">
        <w:rPr>
          <w:sz w:val="28"/>
          <w:szCs w:val="28"/>
        </w:rPr>
        <w:t>ательства о контрактной системе</w:t>
      </w:r>
    </w:p>
    <w:p w:rsidR="003F6D61" w:rsidRPr="00643F18" w:rsidRDefault="003F6D61" w:rsidP="003F6D61">
      <w:pPr>
        <w:contextualSpacing/>
        <w:jc w:val="center"/>
        <w:rPr>
          <w:b/>
          <w:sz w:val="28"/>
          <w:szCs w:val="28"/>
        </w:rPr>
      </w:pPr>
      <w:r w:rsidRPr="00C37CE2">
        <w:rPr>
          <w:sz w:val="28"/>
          <w:szCs w:val="28"/>
        </w:rPr>
        <w:t xml:space="preserve">по делу </w:t>
      </w:r>
      <w:r w:rsidRPr="00C37CE2">
        <w:rPr>
          <w:b/>
          <w:sz w:val="28"/>
          <w:szCs w:val="28"/>
        </w:rPr>
        <w:t>№ 44-</w:t>
      </w:r>
      <w:r w:rsidR="00A3754A" w:rsidRPr="00A3754A">
        <w:rPr>
          <w:b/>
          <w:sz w:val="28"/>
          <w:szCs w:val="28"/>
        </w:rPr>
        <w:t>127</w:t>
      </w:r>
      <w:r>
        <w:rPr>
          <w:b/>
          <w:sz w:val="28"/>
          <w:szCs w:val="28"/>
        </w:rPr>
        <w:t>/</w:t>
      </w:r>
      <w:r w:rsidRPr="00643F18">
        <w:rPr>
          <w:b/>
          <w:sz w:val="28"/>
          <w:szCs w:val="28"/>
        </w:rPr>
        <w:t>2</w:t>
      </w:r>
      <w:r w:rsidR="0022482D">
        <w:rPr>
          <w:b/>
          <w:sz w:val="28"/>
          <w:szCs w:val="28"/>
        </w:rPr>
        <w:t>3</w:t>
      </w:r>
    </w:p>
    <w:p w:rsidR="002B3EE2" w:rsidRDefault="002B3EE2" w:rsidP="003F6D61">
      <w:pPr>
        <w:tabs>
          <w:tab w:val="left" w:pos="0"/>
        </w:tabs>
        <w:contextualSpacing/>
        <w:rPr>
          <w:sz w:val="28"/>
          <w:szCs w:val="28"/>
        </w:rPr>
      </w:pPr>
    </w:p>
    <w:p w:rsidR="003F6D61" w:rsidRPr="00643F18" w:rsidRDefault="0022482D" w:rsidP="003F6D61">
      <w:pPr>
        <w:tabs>
          <w:tab w:val="left" w:pos="0"/>
        </w:tabs>
        <w:contextualSpacing/>
        <w:rPr>
          <w:sz w:val="28"/>
          <w:szCs w:val="28"/>
        </w:rPr>
      </w:pPr>
      <w:r>
        <w:rPr>
          <w:sz w:val="28"/>
          <w:szCs w:val="28"/>
        </w:rPr>
        <w:t>13.01</w:t>
      </w:r>
      <w:r w:rsidR="00CE3C33">
        <w:rPr>
          <w:sz w:val="28"/>
          <w:szCs w:val="28"/>
        </w:rPr>
        <w:t>.</w:t>
      </w:r>
      <w:r>
        <w:rPr>
          <w:sz w:val="28"/>
          <w:szCs w:val="28"/>
        </w:rPr>
        <w:t>2023</w:t>
      </w:r>
      <w:r w:rsidR="003F6D61" w:rsidRPr="00643F18">
        <w:rPr>
          <w:sz w:val="28"/>
          <w:szCs w:val="28"/>
        </w:rPr>
        <w:t xml:space="preserve">                                                                                              Санкт-Петербург</w:t>
      </w:r>
    </w:p>
    <w:p w:rsidR="003F6D61" w:rsidRPr="00643F18" w:rsidRDefault="003F6D61" w:rsidP="003F6D61">
      <w:pPr>
        <w:tabs>
          <w:tab w:val="left" w:pos="0"/>
        </w:tabs>
        <w:ind w:left="540"/>
        <w:contextualSpacing/>
        <w:rPr>
          <w:sz w:val="28"/>
          <w:szCs w:val="28"/>
        </w:rPr>
      </w:pPr>
    </w:p>
    <w:p w:rsidR="003F6D61" w:rsidRPr="00643F18" w:rsidRDefault="003F6D61" w:rsidP="003F6D61">
      <w:pPr>
        <w:widowControl w:val="0"/>
        <w:ind w:firstLine="709"/>
        <w:jc w:val="both"/>
        <w:rPr>
          <w:sz w:val="28"/>
          <w:szCs w:val="28"/>
        </w:rPr>
      </w:pPr>
      <w:r w:rsidRPr="00643F18">
        <w:rPr>
          <w:sz w:val="28"/>
          <w:szCs w:val="28"/>
        </w:rPr>
        <w:t>Комиссия Санкт-Петербургского УФАС России по контролю закупок (далее – Комиссия УФАС) в составе:</w:t>
      </w:r>
    </w:p>
    <w:p w:rsidR="00DE316D" w:rsidRDefault="00DE316D" w:rsidP="0082491A">
      <w:pPr>
        <w:widowControl w:val="0"/>
        <w:ind w:firstLine="709"/>
        <w:jc w:val="both"/>
        <w:rPr>
          <w:sz w:val="28"/>
          <w:szCs w:val="28"/>
        </w:rPr>
      </w:pPr>
    </w:p>
    <w:p w:rsidR="004D785F" w:rsidRDefault="004D785F" w:rsidP="0082491A">
      <w:pPr>
        <w:widowControl w:val="0"/>
        <w:ind w:firstLine="709"/>
        <w:jc w:val="both"/>
        <w:rPr>
          <w:sz w:val="28"/>
          <w:szCs w:val="28"/>
        </w:rPr>
      </w:pPr>
      <w:r>
        <w:rPr>
          <w:sz w:val="28"/>
          <w:szCs w:val="28"/>
        </w:rPr>
        <w:t>при участии представителей:</w:t>
      </w:r>
    </w:p>
    <w:p w:rsidR="004D785F" w:rsidRPr="00F23A72" w:rsidRDefault="0022482D" w:rsidP="00F23A72">
      <w:pPr>
        <w:widowControl w:val="0"/>
        <w:ind w:firstLine="709"/>
        <w:jc w:val="both"/>
        <w:rPr>
          <w:bCs/>
          <w:sz w:val="28"/>
          <w:szCs w:val="28"/>
        </w:rPr>
      </w:pPr>
      <w:r w:rsidRPr="0022482D">
        <w:rPr>
          <w:bCs/>
          <w:sz w:val="28"/>
          <w:szCs w:val="28"/>
        </w:rPr>
        <w:t>СПб ГКУ «Техническая дирекция государственных архивных учреждений Санкт-Петербурга»</w:t>
      </w:r>
      <w:r w:rsidR="0095726A">
        <w:rPr>
          <w:bCs/>
          <w:sz w:val="28"/>
          <w:szCs w:val="28"/>
        </w:rPr>
        <w:t xml:space="preserve"> (далее – Заказчик</w:t>
      </w:r>
      <w:r w:rsidR="00602748">
        <w:rPr>
          <w:bCs/>
          <w:sz w:val="28"/>
          <w:szCs w:val="28"/>
        </w:rPr>
        <w:t>)</w:t>
      </w:r>
      <w:r w:rsidR="004D785F">
        <w:rPr>
          <w:bCs/>
          <w:sz w:val="28"/>
          <w:szCs w:val="28"/>
        </w:rPr>
        <w:t>;</w:t>
      </w:r>
    </w:p>
    <w:p w:rsidR="00CE3C33" w:rsidRPr="00D0030F" w:rsidRDefault="0022482D" w:rsidP="00D0030F">
      <w:pPr>
        <w:tabs>
          <w:tab w:val="left" w:pos="0"/>
        </w:tabs>
        <w:ind w:firstLine="709"/>
        <w:jc w:val="both"/>
        <w:rPr>
          <w:bCs/>
          <w:sz w:val="28"/>
          <w:szCs w:val="28"/>
        </w:rPr>
      </w:pPr>
      <w:r w:rsidRPr="0022482D">
        <w:rPr>
          <w:bCs/>
          <w:sz w:val="28"/>
          <w:szCs w:val="28"/>
        </w:rPr>
        <w:t>ООО «БизнесСервисГрупп»</w:t>
      </w:r>
      <w:r w:rsidR="00E54BA2" w:rsidRPr="00E54BA2">
        <w:rPr>
          <w:bCs/>
          <w:sz w:val="28"/>
          <w:szCs w:val="28"/>
        </w:rPr>
        <w:t xml:space="preserve"> (далее – Заявитель)</w:t>
      </w:r>
      <w:r>
        <w:rPr>
          <w:bCs/>
          <w:sz w:val="28"/>
          <w:szCs w:val="28"/>
        </w:rPr>
        <w:t>;</w:t>
      </w:r>
    </w:p>
    <w:p w:rsidR="00643F18" w:rsidRPr="00643F18" w:rsidRDefault="004527E5" w:rsidP="00602748">
      <w:pPr>
        <w:widowControl w:val="0"/>
        <w:ind w:firstLine="709"/>
        <w:jc w:val="both"/>
        <w:rPr>
          <w:sz w:val="28"/>
          <w:szCs w:val="28"/>
        </w:rPr>
      </w:pPr>
      <w:r w:rsidRPr="00F91CF7">
        <w:rPr>
          <w:sz w:val="28"/>
          <w:szCs w:val="28"/>
        </w:rPr>
        <w:t>рассмотрев посредством системы видеоконференцсвязи жалобу Заявителя</w:t>
      </w:r>
      <w:r w:rsidR="00643F18" w:rsidRPr="00F91CF7">
        <w:rPr>
          <w:sz w:val="28"/>
          <w:szCs w:val="28"/>
        </w:rPr>
        <w:t xml:space="preserve"> </w:t>
      </w:r>
      <w:r w:rsidR="00643F18" w:rsidRPr="00643F18">
        <w:rPr>
          <w:sz w:val="28"/>
          <w:szCs w:val="28"/>
        </w:rPr>
        <w:t xml:space="preserve">(вх. № </w:t>
      </w:r>
      <w:r w:rsidR="0078625C" w:rsidRPr="0078625C">
        <w:rPr>
          <w:sz w:val="28"/>
          <w:szCs w:val="28"/>
        </w:rPr>
        <w:t>242</w:t>
      </w:r>
      <w:r w:rsidR="0022482D" w:rsidRPr="0022482D">
        <w:rPr>
          <w:sz w:val="28"/>
          <w:szCs w:val="28"/>
        </w:rPr>
        <w:t>-ЭП/23 от 09.01.2023</w:t>
      </w:r>
      <w:r w:rsidR="00643F18" w:rsidRPr="00643F18">
        <w:rPr>
          <w:sz w:val="28"/>
          <w:szCs w:val="28"/>
        </w:rPr>
        <w:t xml:space="preserve">) на действия Заказчика при определении поставщика (подрядчика, исполнителя) путем проведения </w:t>
      </w:r>
      <w:r w:rsidR="00602748" w:rsidRPr="00602748">
        <w:rPr>
          <w:sz w:val="28"/>
          <w:szCs w:val="28"/>
        </w:rPr>
        <w:t xml:space="preserve">электронных аукционов на </w:t>
      </w:r>
      <w:r w:rsidR="0022482D" w:rsidRPr="0022482D">
        <w:rPr>
          <w:sz w:val="28"/>
          <w:szCs w:val="28"/>
        </w:rPr>
        <w:t>оказание услуг по техническому обслуживанию комплексных систем обеспечения безопасности (извещения</w:t>
      </w:r>
      <w:r w:rsidR="0022482D">
        <w:rPr>
          <w:sz w:val="28"/>
          <w:szCs w:val="28"/>
        </w:rPr>
        <w:t xml:space="preserve"> номер</w:t>
      </w:r>
      <w:r w:rsidR="0022482D" w:rsidRPr="0022482D">
        <w:rPr>
          <w:sz w:val="28"/>
          <w:szCs w:val="28"/>
        </w:rPr>
        <w:t xml:space="preserve"> </w:t>
      </w:r>
      <w:r w:rsidR="0078625C" w:rsidRPr="0078625C">
        <w:rPr>
          <w:sz w:val="28"/>
          <w:szCs w:val="28"/>
        </w:rPr>
        <w:t>0372200047322000031</w:t>
      </w:r>
      <w:r w:rsidR="0022482D" w:rsidRPr="0022482D">
        <w:rPr>
          <w:sz w:val="28"/>
          <w:szCs w:val="28"/>
        </w:rPr>
        <w:t>)</w:t>
      </w:r>
      <w:r w:rsidR="004D785F" w:rsidRPr="004D785F">
        <w:rPr>
          <w:sz w:val="28"/>
          <w:szCs w:val="28"/>
        </w:rPr>
        <w:t xml:space="preserve"> </w:t>
      </w:r>
      <w:r w:rsidR="00426359">
        <w:rPr>
          <w:sz w:val="28"/>
          <w:szCs w:val="28"/>
        </w:rPr>
        <w:t xml:space="preserve">(далее – </w:t>
      </w:r>
      <w:r w:rsidR="00602748">
        <w:rPr>
          <w:sz w:val="28"/>
          <w:szCs w:val="28"/>
        </w:rPr>
        <w:lastRenderedPageBreak/>
        <w:t>аукцион</w:t>
      </w:r>
      <w:r w:rsidR="00643F18" w:rsidRPr="00643F18">
        <w:rPr>
          <w:sz w:val="28"/>
          <w:szCs w:val="28"/>
        </w:rPr>
        <w:t>), а также в результате проведения внеплановой проверки на основании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w:t>
      </w:r>
      <w:r w:rsidR="00643F18" w:rsidRPr="00643F18">
        <w:rPr>
          <w:bCs/>
          <w:sz w:val="28"/>
          <w:szCs w:val="28"/>
        </w:rPr>
        <w:t>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r w:rsidR="00643F18" w:rsidRPr="00643F18">
        <w:rPr>
          <w:spacing w:val="6"/>
          <w:sz w:val="28"/>
          <w:szCs w:val="28"/>
        </w:rPr>
        <w:t xml:space="preserve">, утвержденного приказом ФАС России от 19.11.2014 № 727/14 </w:t>
      </w:r>
      <w:r w:rsidR="00643F18" w:rsidRPr="00643F18">
        <w:rPr>
          <w:sz w:val="28"/>
          <w:szCs w:val="28"/>
        </w:rPr>
        <w:t>(далее – Административный регламент),</w:t>
      </w:r>
    </w:p>
    <w:p w:rsidR="00643F18" w:rsidRPr="00643F18" w:rsidRDefault="00643F18" w:rsidP="00643F18">
      <w:pPr>
        <w:tabs>
          <w:tab w:val="left" w:pos="2700"/>
        </w:tabs>
        <w:contextualSpacing/>
        <w:outlineLvl w:val="0"/>
        <w:rPr>
          <w:sz w:val="28"/>
          <w:szCs w:val="28"/>
        </w:rPr>
      </w:pPr>
    </w:p>
    <w:p w:rsidR="00643F18" w:rsidRPr="00643F18" w:rsidRDefault="00643F18" w:rsidP="00643F18">
      <w:pPr>
        <w:tabs>
          <w:tab w:val="left" w:pos="2700"/>
        </w:tabs>
        <w:contextualSpacing/>
        <w:jc w:val="center"/>
        <w:outlineLvl w:val="0"/>
        <w:rPr>
          <w:sz w:val="28"/>
          <w:szCs w:val="28"/>
        </w:rPr>
      </w:pPr>
      <w:r w:rsidRPr="00643F18">
        <w:rPr>
          <w:sz w:val="28"/>
          <w:szCs w:val="28"/>
        </w:rPr>
        <w:t>УСТАНОВИЛА:</w:t>
      </w:r>
    </w:p>
    <w:p w:rsidR="00643F18" w:rsidRPr="00643F18" w:rsidRDefault="00643F18" w:rsidP="00643F18">
      <w:pPr>
        <w:tabs>
          <w:tab w:val="left" w:pos="2700"/>
        </w:tabs>
        <w:ind w:firstLine="709"/>
        <w:contextualSpacing/>
        <w:jc w:val="center"/>
        <w:outlineLvl w:val="0"/>
        <w:rPr>
          <w:sz w:val="28"/>
          <w:szCs w:val="28"/>
        </w:rPr>
      </w:pPr>
    </w:p>
    <w:p w:rsidR="00643F18" w:rsidRPr="00643F18" w:rsidRDefault="00643F18" w:rsidP="00643F18">
      <w:pPr>
        <w:widowControl w:val="0"/>
        <w:tabs>
          <w:tab w:val="left" w:pos="-142"/>
          <w:tab w:val="left" w:pos="709"/>
          <w:tab w:val="left" w:pos="1134"/>
        </w:tabs>
        <w:ind w:firstLine="709"/>
        <w:jc w:val="both"/>
        <w:rPr>
          <w:sz w:val="28"/>
          <w:szCs w:val="28"/>
        </w:rPr>
      </w:pPr>
      <w:r w:rsidRPr="00643F18">
        <w:rPr>
          <w:sz w:val="28"/>
          <w:szCs w:val="28"/>
        </w:rPr>
        <w:t xml:space="preserve">Извещение о проведении </w:t>
      </w:r>
      <w:r w:rsidR="00602748">
        <w:rPr>
          <w:sz w:val="28"/>
          <w:szCs w:val="28"/>
        </w:rPr>
        <w:t>аукциона</w:t>
      </w:r>
      <w:r w:rsidRPr="00643F18">
        <w:rPr>
          <w:sz w:val="28"/>
          <w:szCs w:val="28"/>
        </w:rPr>
        <w:t xml:space="preserve"> р</w:t>
      </w:r>
      <w:r w:rsidR="0078625C">
        <w:rPr>
          <w:sz w:val="28"/>
          <w:szCs w:val="28"/>
        </w:rPr>
        <w:t>азмещено 16</w:t>
      </w:r>
      <w:r w:rsidR="0095726A">
        <w:rPr>
          <w:sz w:val="28"/>
          <w:szCs w:val="28"/>
        </w:rPr>
        <w:t>.12</w:t>
      </w:r>
      <w:r w:rsidR="004527E5">
        <w:rPr>
          <w:sz w:val="28"/>
          <w:szCs w:val="28"/>
        </w:rPr>
        <w:t>.2022</w:t>
      </w:r>
      <w:r w:rsidRPr="00643F18">
        <w:rPr>
          <w:sz w:val="28"/>
          <w:szCs w:val="28"/>
        </w:rPr>
        <w:t xml:space="preserve"> на официальном сайте единой информационной системы </w:t>
      </w:r>
      <w:hyperlink r:id="rId7" w:history="1">
        <w:r w:rsidRPr="00643F18">
          <w:rPr>
            <w:rStyle w:val="a7"/>
            <w:color w:val="auto"/>
            <w:sz w:val="28"/>
            <w:szCs w:val="28"/>
            <w:u w:val="none"/>
          </w:rPr>
          <w:t>www.</w:t>
        </w:r>
        <w:r w:rsidRPr="00643F18">
          <w:rPr>
            <w:rStyle w:val="a7"/>
            <w:color w:val="auto"/>
            <w:sz w:val="28"/>
            <w:szCs w:val="28"/>
            <w:u w:val="none"/>
            <w:lang w:val="en-US"/>
          </w:rPr>
          <w:t>zakupki</w:t>
        </w:r>
        <w:r w:rsidRPr="00643F18">
          <w:rPr>
            <w:rStyle w:val="a7"/>
            <w:color w:val="auto"/>
            <w:sz w:val="28"/>
            <w:szCs w:val="28"/>
            <w:u w:val="none"/>
          </w:rPr>
          <w:t>.</w:t>
        </w:r>
        <w:r w:rsidRPr="00643F18">
          <w:rPr>
            <w:rStyle w:val="a7"/>
            <w:color w:val="auto"/>
            <w:sz w:val="28"/>
            <w:szCs w:val="28"/>
            <w:u w:val="none"/>
            <w:lang w:val="en-US"/>
          </w:rPr>
          <w:t>gov</w:t>
        </w:r>
        <w:r w:rsidRPr="00643F18">
          <w:rPr>
            <w:rStyle w:val="a7"/>
            <w:color w:val="auto"/>
            <w:sz w:val="28"/>
            <w:szCs w:val="28"/>
            <w:u w:val="none"/>
          </w:rPr>
          <w:t>.ru</w:t>
        </w:r>
      </w:hyperlink>
      <w:r w:rsidR="0022482D">
        <w:rPr>
          <w:rStyle w:val="a7"/>
          <w:color w:val="auto"/>
          <w:sz w:val="28"/>
          <w:szCs w:val="28"/>
          <w:u w:val="none"/>
        </w:rPr>
        <w:t xml:space="preserve"> (далее – ЕИС)</w:t>
      </w:r>
      <w:r w:rsidRPr="00643F18">
        <w:rPr>
          <w:sz w:val="28"/>
          <w:szCs w:val="28"/>
        </w:rPr>
        <w:t xml:space="preserve">, номер извещения </w:t>
      </w:r>
      <w:r w:rsidR="0078625C" w:rsidRPr="0078625C">
        <w:rPr>
          <w:sz w:val="28"/>
          <w:szCs w:val="28"/>
        </w:rPr>
        <w:t>0372200047322000031</w:t>
      </w:r>
      <w:r w:rsidRPr="00643F18">
        <w:rPr>
          <w:sz w:val="28"/>
          <w:szCs w:val="28"/>
        </w:rPr>
        <w:t xml:space="preserve">. Начальная (максимальная) цена контракта – </w:t>
      </w:r>
      <w:r w:rsidRPr="00643F18">
        <w:rPr>
          <w:sz w:val="28"/>
          <w:szCs w:val="28"/>
        </w:rPr>
        <w:br/>
      </w:r>
      <w:r w:rsidR="0078625C" w:rsidRPr="0078625C">
        <w:rPr>
          <w:sz w:val="28"/>
          <w:szCs w:val="28"/>
        </w:rPr>
        <w:t>4 444 579,00</w:t>
      </w:r>
      <w:r w:rsidR="00CE3C33">
        <w:rPr>
          <w:sz w:val="28"/>
          <w:szCs w:val="28"/>
        </w:rPr>
        <w:t xml:space="preserve"> </w:t>
      </w:r>
      <w:r w:rsidRPr="00643F18">
        <w:rPr>
          <w:sz w:val="28"/>
          <w:szCs w:val="28"/>
        </w:rPr>
        <w:t>рублей.</w:t>
      </w:r>
    </w:p>
    <w:p w:rsidR="006544A8" w:rsidRPr="00423159" w:rsidRDefault="006544A8" w:rsidP="006544A8">
      <w:pPr>
        <w:ind w:firstLine="720"/>
        <w:jc w:val="both"/>
        <w:rPr>
          <w:sz w:val="28"/>
          <w:szCs w:val="28"/>
        </w:rPr>
      </w:pPr>
      <w:r w:rsidRPr="00423159">
        <w:rPr>
          <w:sz w:val="28"/>
          <w:szCs w:val="28"/>
        </w:rPr>
        <w:t>В жалобе Заявитель указывает на неправомерные действия Заказчика, нарушающие, по мнени</w:t>
      </w:r>
      <w:r w:rsidR="003F6D61">
        <w:rPr>
          <w:sz w:val="28"/>
          <w:szCs w:val="28"/>
        </w:rPr>
        <w:t xml:space="preserve">ю Заявителя, требования Закона </w:t>
      </w:r>
      <w:r w:rsidRPr="00423159">
        <w:rPr>
          <w:sz w:val="28"/>
          <w:szCs w:val="28"/>
        </w:rPr>
        <w:t xml:space="preserve">о контрактной системе, в части ненадлежащего описания объекта закупки. </w:t>
      </w:r>
    </w:p>
    <w:p w:rsidR="006544A8" w:rsidRDefault="006544A8" w:rsidP="006544A8">
      <w:pPr>
        <w:ind w:firstLine="720"/>
        <w:jc w:val="both"/>
        <w:rPr>
          <w:sz w:val="28"/>
          <w:szCs w:val="28"/>
        </w:rPr>
      </w:pPr>
      <w:r w:rsidRPr="00423159">
        <w:rPr>
          <w:sz w:val="28"/>
          <w:szCs w:val="28"/>
        </w:rPr>
        <w:t>Рассмотрев представленные документы и сведения, заслушав пояснения представителя Заявителя, Комиссия УФАС приходит к следующим выводам.</w:t>
      </w:r>
    </w:p>
    <w:p w:rsidR="00436BC6" w:rsidRPr="00436BC6" w:rsidRDefault="00436BC6" w:rsidP="00436BC6">
      <w:pPr>
        <w:ind w:right="-5" w:firstLine="720"/>
        <w:jc w:val="both"/>
        <w:rPr>
          <w:bCs/>
          <w:sz w:val="28"/>
          <w:szCs w:val="28"/>
        </w:rPr>
      </w:pPr>
      <w:r w:rsidRPr="00436BC6">
        <w:rPr>
          <w:bCs/>
          <w:sz w:val="28"/>
          <w:szCs w:val="28"/>
        </w:rPr>
        <w:t>Согласно ч. 2. ст. 106 Закона о контрактной системе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36BC6" w:rsidRPr="00436BC6" w:rsidRDefault="00436BC6" w:rsidP="00436BC6">
      <w:pPr>
        <w:ind w:right="-5" w:firstLine="720"/>
        <w:jc w:val="both"/>
        <w:rPr>
          <w:bCs/>
          <w:sz w:val="28"/>
          <w:szCs w:val="28"/>
        </w:rPr>
      </w:pPr>
      <w:r w:rsidRPr="00436BC6">
        <w:rPr>
          <w:bCs/>
          <w:sz w:val="28"/>
          <w:szCs w:val="28"/>
        </w:rPr>
        <w:t>В силу ч. 4 ст. 106 Закона о контрактной системе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w:t>
      </w:r>
    </w:p>
    <w:p w:rsidR="00436BC6" w:rsidRDefault="00436BC6" w:rsidP="00436BC6">
      <w:pPr>
        <w:ind w:right="-5" w:firstLine="720"/>
        <w:jc w:val="both"/>
        <w:rPr>
          <w:bCs/>
          <w:sz w:val="28"/>
          <w:szCs w:val="28"/>
        </w:rPr>
      </w:pPr>
      <w:r w:rsidRPr="00436BC6">
        <w:rPr>
          <w:bCs/>
          <w:sz w:val="28"/>
          <w:szCs w:val="28"/>
        </w:rPr>
        <w:t xml:space="preserve">Следовательно, бремя доказывания при рассмотрении жалобы </w:t>
      </w:r>
      <w:r w:rsidRPr="00436BC6">
        <w:rPr>
          <w:bCs/>
          <w:sz w:val="28"/>
          <w:szCs w:val="28"/>
        </w:rPr>
        <w:br/>
        <w:t>в контрольном органе в сфере закупок Законом о контрактной системе возлагается на лицо, подавшее жалобу на соответствующие действия Заказчика в порядке Главы 6 Закона о контрактной системе.</w:t>
      </w:r>
    </w:p>
    <w:p w:rsidR="0022482D" w:rsidRPr="0022482D" w:rsidRDefault="0022482D" w:rsidP="0022482D">
      <w:pPr>
        <w:ind w:right="-5" w:firstLine="720"/>
        <w:jc w:val="both"/>
        <w:rPr>
          <w:bCs/>
          <w:sz w:val="28"/>
          <w:szCs w:val="28"/>
          <w:lang w:bidi="ru-RU"/>
        </w:rPr>
      </w:pPr>
      <w:r w:rsidRPr="0022482D">
        <w:rPr>
          <w:bCs/>
          <w:sz w:val="28"/>
          <w:szCs w:val="28"/>
          <w:lang w:bidi="ru-RU"/>
        </w:rPr>
        <w:t>Относительно доводов Заявителя, касающихся обжалования положений извещения об осуществлении закупки, Комиссия УФАС отмечает следующее.</w:t>
      </w:r>
    </w:p>
    <w:p w:rsidR="0022482D" w:rsidRDefault="0022482D" w:rsidP="0022482D">
      <w:pPr>
        <w:ind w:right="-5" w:firstLine="720"/>
        <w:jc w:val="both"/>
        <w:rPr>
          <w:bCs/>
          <w:sz w:val="28"/>
          <w:szCs w:val="28"/>
          <w:lang w:bidi="ru-RU"/>
        </w:rPr>
      </w:pPr>
      <w:r w:rsidRPr="0022482D">
        <w:rPr>
          <w:bCs/>
          <w:sz w:val="28"/>
          <w:szCs w:val="28"/>
          <w:lang w:bidi="ru-RU"/>
        </w:rPr>
        <w:t xml:space="preserve">Согласно п. 1 ч. 2 ст. 105 Закона о контрактной системе,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22482D">
        <w:rPr>
          <w:bCs/>
          <w:sz w:val="28"/>
          <w:szCs w:val="28"/>
          <w:lang w:bidi="ru-RU"/>
        </w:rPr>
        <w:lastRenderedPageBreak/>
        <w:t>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2482D" w:rsidRPr="0022482D" w:rsidRDefault="0022482D" w:rsidP="0022482D">
      <w:pPr>
        <w:ind w:right="-5" w:firstLine="720"/>
        <w:jc w:val="both"/>
        <w:rPr>
          <w:bCs/>
          <w:sz w:val="28"/>
          <w:szCs w:val="28"/>
          <w:lang w:bidi="ru-RU"/>
        </w:rPr>
      </w:pPr>
      <w:r>
        <w:rPr>
          <w:bCs/>
          <w:sz w:val="28"/>
          <w:szCs w:val="28"/>
          <w:lang w:bidi="ru-RU"/>
        </w:rPr>
        <w:t>Согласно сведеньям ЕИС д</w:t>
      </w:r>
      <w:r w:rsidRPr="0022482D">
        <w:rPr>
          <w:bCs/>
          <w:sz w:val="28"/>
          <w:szCs w:val="28"/>
          <w:lang w:bidi="ru-RU"/>
        </w:rPr>
        <w:t>ата и врем</w:t>
      </w:r>
      <w:r>
        <w:rPr>
          <w:bCs/>
          <w:sz w:val="28"/>
          <w:szCs w:val="28"/>
          <w:lang w:bidi="ru-RU"/>
        </w:rPr>
        <w:t xml:space="preserve">я окончания срока подачи заявок </w:t>
      </w:r>
      <w:r w:rsidR="0078625C" w:rsidRPr="0078625C">
        <w:rPr>
          <w:bCs/>
          <w:sz w:val="28"/>
          <w:szCs w:val="28"/>
          <w:lang w:bidi="ru-RU"/>
        </w:rPr>
        <w:t>26.12.2022</w:t>
      </w:r>
      <w:r w:rsidR="0078625C">
        <w:rPr>
          <w:bCs/>
          <w:sz w:val="28"/>
          <w:szCs w:val="28"/>
          <w:lang w:bidi="ru-RU"/>
        </w:rPr>
        <w:t xml:space="preserve"> в</w:t>
      </w:r>
      <w:r w:rsidR="0078625C" w:rsidRPr="0078625C">
        <w:rPr>
          <w:bCs/>
          <w:sz w:val="28"/>
          <w:szCs w:val="28"/>
          <w:lang w:bidi="ru-RU"/>
        </w:rPr>
        <w:t xml:space="preserve"> 09:00</w:t>
      </w:r>
      <w:r>
        <w:rPr>
          <w:bCs/>
          <w:sz w:val="28"/>
          <w:szCs w:val="28"/>
          <w:lang w:bidi="ru-RU"/>
        </w:rPr>
        <w:t>, вместе с тем жалоба подана 09.01.2023.</w:t>
      </w:r>
    </w:p>
    <w:p w:rsidR="0022482D" w:rsidRPr="0022482D" w:rsidRDefault="0022482D" w:rsidP="0022482D">
      <w:pPr>
        <w:ind w:right="-5" w:firstLine="720"/>
        <w:jc w:val="both"/>
        <w:rPr>
          <w:bCs/>
          <w:sz w:val="28"/>
          <w:szCs w:val="28"/>
          <w:lang w:bidi="ru-RU"/>
        </w:rPr>
      </w:pPr>
      <w:r w:rsidRPr="0022482D">
        <w:rPr>
          <w:bCs/>
          <w:sz w:val="28"/>
          <w:szCs w:val="28"/>
          <w:lang w:bidi="ru-RU"/>
        </w:rPr>
        <w:t>По истечении указанного срока обжалование данных действий (бездействия) Заказчика, осуществляется только в судебном порядке.</w:t>
      </w:r>
    </w:p>
    <w:p w:rsidR="0022482D" w:rsidRPr="0022482D" w:rsidRDefault="0022482D" w:rsidP="0022482D">
      <w:pPr>
        <w:ind w:right="-5" w:firstLine="720"/>
        <w:jc w:val="both"/>
        <w:rPr>
          <w:bCs/>
          <w:sz w:val="28"/>
          <w:szCs w:val="28"/>
          <w:lang w:bidi="ru-RU"/>
        </w:rPr>
      </w:pPr>
      <w:r w:rsidRPr="0022482D">
        <w:rPr>
          <w:bCs/>
          <w:sz w:val="28"/>
          <w:szCs w:val="28"/>
          <w:lang w:bidi="ru-RU"/>
        </w:rPr>
        <w:t>Принимая во внимание, что жалоба Заявителя подана по истечении срока подачи заявок, Комиссия УФАС оставляет доводы Заявителя в указанной части без рассмотрения, по существу.</w:t>
      </w:r>
    </w:p>
    <w:p w:rsidR="00CE3C33" w:rsidRDefault="00CE3C33" w:rsidP="001311FF">
      <w:pPr>
        <w:ind w:right="-5"/>
        <w:jc w:val="both"/>
        <w:rPr>
          <w:sz w:val="28"/>
          <w:szCs w:val="28"/>
        </w:rPr>
      </w:pPr>
    </w:p>
    <w:p w:rsidR="005E580A" w:rsidRDefault="00643F18" w:rsidP="001311FF">
      <w:pPr>
        <w:ind w:right="-5" w:firstLine="720"/>
        <w:jc w:val="both"/>
        <w:rPr>
          <w:sz w:val="28"/>
          <w:szCs w:val="28"/>
        </w:rPr>
      </w:pPr>
      <w:r w:rsidRPr="00643F18">
        <w:rPr>
          <w:sz w:val="28"/>
          <w:szCs w:val="28"/>
        </w:rPr>
        <w:t>Комиссия УФАС, руководствуясь ст. 99, 106 Закона о контрактной системе, Административным регламентом,</w:t>
      </w:r>
    </w:p>
    <w:p w:rsidR="00426359" w:rsidRPr="00643F18" w:rsidRDefault="00426359" w:rsidP="00F970C3">
      <w:pPr>
        <w:ind w:right="-5"/>
        <w:jc w:val="both"/>
        <w:rPr>
          <w:sz w:val="28"/>
          <w:szCs w:val="28"/>
        </w:rPr>
      </w:pPr>
    </w:p>
    <w:p w:rsidR="00643F18" w:rsidRPr="00643F18" w:rsidRDefault="00643F18" w:rsidP="00643F18">
      <w:pPr>
        <w:pStyle w:val="a6"/>
        <w:ind w:firstLine="720"/>
        <w:contextualSpacing/>
        <w:jc w:val="center"/>
        <w:rPr>
          <w:rFonts w:ascii="Times New Roman" w:hAnsi="Times New Roman"/>
          <w:sz w:val="28"/>
          <w:szCs w:val="28"/>
        </w:rPr>
      </w:pPr>
      <w:r w:rsidRPr="00643F18">
        <w:rPr>
          <w:rFonts w:ascii="Times New Roman" w:hAnsi="Times New Roman"/>
          <w:sz w:val="28"/>
          <w:szCs w:val="28"/>
        </w:rPr>
        <w:t>РЕШИЛА:</w:t>
      </w:r>
    </w:p>
    <w:p w:rsidR="00643F18" w:rsidRPr="00643F18" w:rsidRDefault="00643F18" w:rsidP="00643F18">
      <w:pPr>
        <w:pStyle w:val="a6"/>
        <w:tabs>
          <w:tab w:val="left" w:pos="1134"/>
        </w:tabs>
        <w:ind w:firstLine="720"/>
        <w:contextualSpacing/>
        <w:jc w:val="center"/>
        <w:rPr>
          <w:rFonts w:ascii="Times New Roman" w:hAnsi="Times New Roman"/>
          <w:sz w:val="28"/>
          <w:szCs w:val="28"/>
        </w:rPr>
      </w:pPr>
    </w:p>
    <w:p w:rsidR="00643F18" w:rsidRPr="00245DC9" w:rsidRDefault="00880E7D" w:rsidP="00245DC9">
      <w:pPr>
        <w:widowControl w:val="0"/>
        <w:tabs>
          <w:tab w:val="left" w:pos="1134"/>
        </w:tabs>
        <w:ind w:left="720"/>
        <w:jc w:val="both"/>
        <w:rPr>
          <w:bCs/>
          <w:sz w:val="28"/>
          <w:szCs w:val="28"/>
        </w:rPr>
      </w:pPr>
      <w:r>
        <w:rPr>
          <w:sz w:val="28"/>
          <w:szCs w:val="28"/>
        </w:rPr>
        <w:tab/>
      </w:r>
      <w:r w:rsidR="00643F18" w:rsidRPr="00643F18">
        <w:rPr>
          <w:sz w:val="28"/>
          <w:szCs w:val="28"/>
        </w:rPr>
        <w:t xml:space="preserve">Признать жалобу </w:t>
      </w:r>
      <w:r w:rsidR="0022482D" w:rsidRPr="0022482D">
        <w:rPr>
          <w:bCs/>
          <w:sz w:val="28"/>
          <w:szCs w:val="28"/>
        </w:rPr>
        <w:t>ООО «БизнесСервисГрупп»</w:t>
      </w:r>
      <w:r w:rsidR="00245DC9">
        <w:rPr>
          <w:bCs/>
          <w:sz w:val="28"/>
          <w:szCs w:val="28"/>
        </w:rPr>
        <w:t xml:space="preserve"> </w:t>
      </w:r>
      <w:r w:rsidR="00142477">
        <w:rPr>
          <w:bCs/>
          <w:sz w:val="28"/>
          <w:szCs w:val="28"/>
        </w:rPr>
        <w:t>нео</w:t>
      </w:r>
      <w:r w:rsidR="00142477">
        <w:rPr>
          <w:sz w:val="28"/>
          <w:szCs w:val="28"/>
        </w:rPr>
        <w:t>боснованной</w:t>
      </w:r>
    </w:p>
    <w:p w:rsidR="00426359" w:rsidRDefault="00426359" w:rsidP="00426359">
      <w:pPr>
        <w:widowControl w:val="0"/>
        <w:tabs>
          <w:tab w:val="left" w:pos="993"/>
        </w:tabs>
        <w:autoSpaceDE w:val="0"/>
        <w:autoSpaceDN w:val="0"/>
        <w:adjustRightInd w:val="0"/>
        <w:jc w:val="both"/>
        <w:outlineLvl w:val="1"/>
        <w:rPr>
          <w:color w:val="000000"/>
          <w:sz w:val="26"/>
          <w:szCs w:val="26"/>
        </w:rPr>
      </w:pPr>
    </w:p>
    <w:p w:rsidR="00DE316D" w:rsidRPr="00A47B60" w:rsidRDefault="00DE316D" w:rsidP="00426359">
      <w:pPr>
        <w:widowControl w:val="0"/>
        <w:tabs>
          <w:tab w:val="left" w:pos="993"/>
        </w:tabs>
        <w:autoSpaceDE w:val="0"/>
        <w:autoSpaceDN w:val="0"/>
        <w:adjustRightInd w:val="0"/>
        <w:jc w:val="both"/>
        <w:outlineLvl w:val="1"/>
        <w:rPr>
          <w:color w:val="000000"/>
          <w:sz w:val="26"/>
          <w:szCs w:val="26"/>
        </w:rPr>
      </w:pPr>
      <w:bookmarkStart w:id="0" w:name="_GoBack"/>
      <w:bookmarkEnd w:id="0"/>
    </w:p>
    <w:p w:rsidR="001372CD" w:rsidRDefault="00643F18" w:rsidP="00F862E8">
      <w:pPr>
        <w:tabs>
          <w:tab w:val="left" w:pos="2700"/>
        </w:tabs>
        <w:ind w:firstLine="720"/>
        <w:contextualSpacing/>
        <w:jc w:val="both"/>
        <w:rPr>
          <w:sz w:val="28"/>
          <w:szCs w:val="28"/>
        </w:rPr>
      </w:pPr>
      <w:r w:rsidRPr="00643F18">
        <w:rPr>
          <w:i/>
          <w:sz w:val="28"/>
          <w:szCs w:val="28"/>
        </w:rPr>
        <w:t>Настоящее решение может быть обжаловано в судебном порядке                          в течение трёх месяцев со дня принятия.</w:t>
      </w:r>
      <w:r w:rsidRPr="00643F18">
        <w:rPr>
          <w:sz w:val="28"/>
          <w:szCs w:val="28"/>
        </w:rPr>
        <w:t xml:space="preserve"> </w:t>
      </w:r>
    </w:p>
    <w:p w:rsidR="0091794F" w:rsidRDefault="0091794F" w:rsidP="00872F16">
      <w:pPr>
        <w:tabs>
          <w:tab w:val="left" w:pos="2700"/>
        </w:tabs>
        <w:contextualSpacing/>
        <w:jc w:val="both"/>
      </w:pPr>
    </w:p>
    <w:sectPr w:rsidR="0091794F" w:rsidSect="0028668C">
      <w:headerReference w:type="even" r:id="rId8"/>
      <w:headerReference w:type="default" r:id="rId9"/>
      <w:footerReference w:type="first" r:id="rId10"/>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53" w:rsidRDefault="00C94A53">
      <w:r>
        <w:separator/>
      </w:r>
    </w:p>
  </w:endnote>
  <w:endnote w:type="continuationSeparator" w:id="0">
    <w:p w:rsidR="00C94A53" w:rsidRDefault="00C9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65" w:rsidRDefault="00DE316D">
    <w:pPr>
      <w:pStyle w:val="a9"/>
    </w:pPr>
  </w:p>
  <w:p w:rsidR="008F0665" w:rsidRDefault="00DE316D">
    <w:pPr>
      <w:pStyle w:val="a9"/>
    </w:pPr>
  </w:p>
  <w:p w:rsidR="008F0665" w:rsidRDefault="00DE316D">
    <w:pPr>
      <w:pStyle w:val="a9"/>
    </w:pPr>
  </w:p>
  <w:p w:rsidR="008F0665" w:rsidRDefault="00DE31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53" w:rsidRDefault="00C94A53">
      <w:r>
        <w:separator/>
      </w:r>
    </w:p>
  </w:footnote>
  <w:footnote w:type="continuationSeparator" w:id="0">
    <w:p w:rsidR="00C94A53" w:rsidRDefault="00C9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4" w:rsidRDefault="00BE1F84" w:rsidP="00F07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18D4" w:rsidRDefault="00DE316D">
    <w:pPr>
      <w:pStyle w:val="a3"/>
    </w:pPr>
  </w:p>
  <w:p w:rsidR="00550DAA" w:rsidRDefault="00550D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8D4" w:rsidRDefault="00BE1F84" w:rsidP="00F07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316D">
      <w:rPr>
        <w:rStyle w:val="a5"/>
        <w:noProof/>
      </w:rPr>
      <w:t>3</w:t>
    </w:r>
    <w:r>
      <w:rPr>
        <w:rStyle w:val="a5"/>
      </w:rPr>
      <w:fldChar w:fldCharType="end"/>
    </w:r>
  </w:p>
  <w:p w:rsidR="00EE18D4" w:rsidRDefault="00DE316D">
    <w:pPr>
      <w:pStyle w:val="a3"/>
    </w:pPr>
  </w:p>
  <w:p w:rsidR="00550DAA" w:rsidRDefault="00550D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F1D"/>
    <w:multiLevelType w:val="hybridMultilevel"/>
    <w:tmpl w:val="9A9000B0"/>
    <w:lvl w:ilvl="0" w:tplc="E2C8B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5B634DE"/>
    <w:multiLevelType w:val="multilevel"/>
    <w:tmpl w:val="221618A6"/>
    <w:lvl w:ilvl="0">
      <w:start w:val="6"/>
      <w:numFmt w:val="decimal"/>
      <w:lvlText w:val="%1."/>
      <w:lvlJc w:val="left"/>
      <w:pPr>
        <w:ind w:left="720" w:hanging="720"/>
      </w:pPr>
      <w:rPr>
        <w:rFonts w:hint="default"/>
      </w:rPr>
    </w:lvl>
    <w:lvl w:ilvl="1">
      <w:start w:val="1"/>
      <w:numFmt w:val="decimal"/>
      <w:lvlText w:val="%1.%2."/>
      <w:lvlJc w:val="left"/>
      <w:pPr>
        <w:ind w:left="908" w:hanging="720"/>
      </w:pPr>
      <w:rPr>
        <w:rFonts w:hint="default"/>
      </w:rPr>
    </w:lvl>
    <w:lvl w:ilvl="2">
      <w:start w:val="3"/>
      <w:numFmt w:val="decimal"/>
      <w:lvlText w:val="%1.%2.%3."/>
      <w:lvlJc w:val="left"/>
      <w:pPr>
        <w:ind w:left="1096" w:hanging="720"/>
      </w:pPr>
      <w:rPr>
        <w:rFonts w:hint="default"/>
      </w:rPr>
    </w:lvl>
    <w:lvl w:ilvl="3">
      <w:start w:val="4"/>
      <w:numFmt w:val="decimal"/>
      <w:lvlText w:val="%1.%2.%3.%4."/>
      <w:lvlJc w:val="left"/>
      <w:pPr>
        <w:ind w:left="1284"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020" w:hanging="108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2756" w:hanging="1440"/>
      </w:pPr>
      <w:rPr>
        <w:rFonts w:hint="default"/>
      </w:rPr>
    </w:lvl>
    <w:lvl w:ilvl="8">
      <w:start w:val="1"/>
      <w:numFmt w:val="decimal"/>
      <w:lvlText w:val="%1.%2.%3.%4.%5.%6.%7.%8.%9."/>
      <w:lvlJc w:val="left"/>
      <w:pPr>
        <w:ind w:left="3304" w:hanging="1800"/>
      </w:pPr>
      <w:rPr>
        <w:rFonts w:hint="default"/>
      </w:rPr>
    </w:lvl>
  </w:abstractNum>
  <w:abstractNum w:abstractNumId="2" w15:restartNumberingAfterBreak="0">
    <w:nsid w:val="50A20F55"/>
    <w:multiLevelType w:val="hybridMultilevel"/>
    <w:tmpl w:val="19005B12"/>
    <w:lvl w:ilvl="0" w:tplc="4D4487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AC"/>
    <w:rsid w:val="00034BF4"/>
    <w:rsid w:val="00093BAC"/>
    <w:rsid w:val="000D1991"/>
    <w:rsid w:val="000F4277"/>
    <w:rsid w:val="001311FF"/>
    <w:rsid w:val="001372CD"/>
    <w:rsid w:val="00142477"/>
    <w:rsid w:val="00150F7E"/>
    <w:rsid w:val="00183C55"/>
    <w:rsid w:val="00183F03"/>
    <w:rsid w:val="0019047B"/>
    <w:rsid w:val="001A2BAB"/>
    <w:rsid w:val="001A6380"/>
    <w:rsid w:val="001B4CAC"/>
    <w:rsid w:val="001E224C"/>
    <w:rsid w:val="0022482D"/>
    <w:rsid w:val="00241E22"/>
    <w:rsid w:val="00245DC9"/>
    <w:rsid w:val="00261E08"/>
    <w:rsid w:val="002B3367"/>
    <w:rsid w:val="002B3EE2"/>
    <w:rsid w:val="003337D8"/>
    <w:rsid w:val="003B5AF4"/>
    <w:rsid w:val="003F6D61"/>
    <w:rsid w:val="00404780"/>
    <w:rsid w:val="00426359"/>
    <w:rsid w:val="00436BC6"/>
    <w:rsid w:val="00440E62"/>
    <w:rsid w:val="004527E5"/>
    <w:rsid w:val="004673B3"/>
    <w:rsid w:val="004A5250"/>
    <w:rsid w:val="004B0137"/>
    <w:rsid w:val="004B5612"/>
    <w:rsid w:val="004D785F"/>
    <w:rsid w:val="005108EF"/>
    <w:rsid w:val="00550DAA"/>
    <w:rsid w:val="0056198A"/>
    <w:rsid w:val="005935FE"/>
    <w:rsid w:val="005B4CD1"/>
    <w:rsid w:val="005D433D"/>
    <w:rsid w:val="005E580A"/>
    <w:rsid w:val="00602748"/>
    <w:rsid w:val="00643F18"/>
    <w:rsid w:val="006544A8"/>
    <w:rsid w:val="00682BF0"/>
    <w:rsid w:val="006D2A78"/>
    <w:rsid w:val="006E3D11"/>
    <w:rsid w:val="007033B9"/>
    <w:rsid w:val="00723C97"/>
    <w:rsid w:val="0074559F"/>
    <w:rsid w:val="0078625C"/>
    <w:rsid w:val="00797C8F"/>
    <w:rsid w:val="007B2806"/>
    <w:rsid w:val="007B7DEE"/>
    <w:rsid w:val="007C7A14"/>
    <w:rsid w:val="0082491A"/>
    <w:rsid w:val="00872F16"/>
    <w:rsid w:val="00880E7D"/>
    <w:rsid w:val="00902007"/>
    <w:rsid w:val="00907722"/>
    <w:rsid w:val="0091794F"/>
    <w:rsid w:val="0095726A"/>
    <w:rsid w:val="00A3754A"/>
    <w:rsid w:val="00A5239F"/>
    <w:rsid w:val="00B42209"/>
    <w:rsid w:val="00BB1DA2"/>
    <w:rsid w:val="00BE1F84"/>
    <w:rsid w:val="00BE2C67"/>
    <w:rsid w:val="00C0009E"/>
    <w:rsid w:val="00C350C4"/>
    <w:rsid w:val="00C37CE2"/>
    <w:rsid w:val="00C63DB7"/>
    <w:rsid w:val="00C94A53"/>
    <w:rsid w:val="00CB4592"/>
    <w:rsid w:val="00CE3C33"/>
    <w:rsid w:val="00D0030F"/>
    <w:rsid w:val="00D14F3F"/>
    <w:rsid w:val="00D24BBD"/>
    <w:rsid w:val="00D45751"/>
    <w:rsid w:val="00D716FA"/>
    <w:rsid w:val="00DE316D"/>
    <w:rsid w:val="00E54BA2"/>
    <w:rsid w:val="00EA7360"/>
    <w:rsid w:val="00ED5778"/>
    <w:rsid w:val="00EF753D"/>
    <w:rsid w:val="00F23A72"/>
    <w:rsid w:val="00F862E8"/>
    <w:rsid w:val="00F91CF7"/>
    <w:rsid w:val="00F970C3"/>
    <w:rsid w:val="00FB6B74"/>
    <w:rsid w:val="00FC7C9D"/>
    <w:rsid w:val="00FD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8463-0E55-48B6-A0AE-F7FBF7ED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3F18"/>
    <w:pPr>
      <w:tabs>
        <w:tab w:val="center" w:pos="4677"/>
        <w:tab w:val="right" w:pos="9355"/>
      </w:tabs>
    </w:pPr>
  </w:style>
  <w:style w:type="character" w:customStyle="1" w:styleId="a4">
    <w:name w:val="Верхний колонтитул Знак"/>
    <w:basedOn w:val="a0"/>
    <w:link w:val="a3"/>
    <w:rsid w:val="00643F18"/>
    <w:rPr>
      <w:rFonts w:ascii="Times New Roman" w:eastAsia="Times New Roman" w:hAnsi="Times New Roman" w:cs="Times New Roman"/>
      <w:sz w:val="24"/>
      <w:szCs w:val="24"/>
      <w:lang w:eastAsia="ru-RU"/>
    </w:rPr>
  </w:style>
  <w:style w:type="character" w:styleId="a5">
    <w:name w:val="page number"/>
    <w:basedOn w:val="a0"/>
    <w:rsid w:val="00643F18"/>
  </w:style>
  <w:style w:type="paragraph" w:styleId="a6">
    <w:name w:val="No Spacing"/>
    <w:qFormat/>
    <w:rsid w:val="00643F18"/>
    <w:pPr>
      <w:spacing w:after="0" w:line="240" w:lineRule="auto"/>
    </w:pPr>
    <w:rPr>
      <w:rFonts w:ascii="Calibri" w:eastAsia="Times New Roman" w:hAnsi="Calibri" w:cs="Times New Roman"/>
      <w:lang w:eastAsia="ru-RU"/>
    </w:rPr>
  </w:style>
  <w:style w:type="character" w:styleId="a7">
    <w:name w:val="Hyperlink"/>
    <w:uiPriority w:val="99"/>
    <w:rsid w:val="00643F18"/>
    <w:rPr>
      <w:color w:val="0000FF"/>
      <w:u w:val="single"/>
    </w:rPr>
  </w:style>
  <w:style w:type="character" w:customStyle="1" w:styleId="a8">
    <w:name w:val="Основной текст_"/>
    <w:link w:val="3"/>
    <w:rsid w:val="00643F18"/>
    <w:rPr>
      <w:rFonts w:ascii="Times New Roman" w:hAnsi="Times New Roman" w:cs="Times New Roman"/>
      <w:shd w:val="clear" w:color="auto" w:fill="FFFFFF"/>
    </w:rPr>
  </w:style>
  <w:style w:type="paragraph" w:styleId="a9">
    <w:name w:val="footer"/>
    <w:basedOn w:val="a"/>
    <w:link w:val="aa"/>
    <w:rsid w:val="00643F18"/>
    <w:pPr>
      <w:tabs>
        <w:tab w:val="center" w:pos="4677"/>
        <w:tab w:val="right" w:pos="9355"/>
      </w:tabs>
    </w:pPr>
    <w:rPr>
      <w:lang w:val="x-none" w:eastAsia="x-none"/>
    </w:rPr>
  </w:style>
  <w:style w:type="character" w:customStyle="1" w:styleId="aa">
    <w:name w:val="Нижний колонтитул Знак"/>
    <w:basedOn w:val="a0"/>
    <w:link w:val="a9"/>
    <w:rsid w:val="00643F18"/>
    <w:rPr>
      <w:rFonts w:ascii="Times New Roman" w:eastAsia="Times New Roman" w:hAnsi="Times New Roman" w:cs="Times New Roman"/>
      <w:sz w:val="24"/>
      <w:szCs w:val="24"/>
      <w:lang w:val="x-none" w:eastAsia="x-none"/>
    </w:rPr>
  </w:style>
  <w:style w:type="paragraph" w:styleId="ab">
    <w:name w:val="List Paragraph"/>
    <w:basedOn w:val="a"/>
    <w:link w:val="ac"/>
    <w:uiPriority w:val="34"/>
    <w:qFormat/>
    <w:rsid w:val="00643F18"/>
    <w:pPr>
      <w:ind w:left="720"/>
      <w:contextualSpacing/>
    </w:pPr>
    <w:rPr>
      <w:lang w:val="x-none" w:eastAsia="x-none"/>
    </w:rPr>
  </w:style>
  <w:style w:type="character" w:customStyle="1" w:styleId="ac">
    <w:name w:val="Абзац списка Знак"/>
    <w:link w:val="ab"/>
    <w:uiPriority w:val="34"/>
    <w:rsid w:val="00643F18"/>
    <w:rPr>
      <w:rFonts w:ascii="Times New Roman" w:eastAsia="Times New Roman" w:hAnsi="Times New Roman" w:cs="Times New Roman"/>
      <w:sz w:val="24"/>
      <w:szCs w:val="24"/>
      <w:lang w:val="x-none" w:eastAsia="x-none"/>
    </w:rPr>
  </w:style>
  <w:style w:type="paragraph" w:customStyle="1" w:styleId="3">
    <w:name w:val="Основной текст3"/>
    <w:basedOn w:val="a"/>
    <w:link w:val="a8"/>
    <w:rsid w:val="00643F18"/>
    <w:pPr>
      <w:widowControl w:val="0"/>
      <w:shd w:val="clear" w:color="auto" w:fill="FFFFFF"/>
      <w:spacing w:after="240" w:line="240" w:lineRule="atLeast"/>
      <w:ind w:hanging="360"/>
      <w:jc w:val="center"/>
    </w:pPr>
    <w:rPr>
      <w:rFonts w:eastAsiaTheme="minorHAnsi"/>
      <w:sz w:val="22"/>
      <w:szCs w:val="22"/>
      <w:lang w:eastAsia="en-US"/>
    </w:rPr>
  </w:style>
  <w:style w:type="paragraph" w:styleId="ad">
    <w:name w:val="Balloon Text"/>
    <w:basedOn w:val="a"/>
    <w:link w:val="ae"/>
    <w:uiPriority w:val="99"/>
    <w:semiHidden/>
    <w:unhideWhenUsed/>
    <w:rsid w:val="00BE1F84"/>
    <w:rPr>
      <w:rFonts w:ascii="Segoe UI" w:hAnsi="Segoe UI" w:cs="Segoe UI"/>
      <w:sz w:val="18"/>
      <w:szCs w:val="18"/>
    </w:rPr>
  </w:style>
  <w:style w:type="character" w:customStyle="1" w:styleId="ae">
    <w:name w:val="Текст выноски Знак"/>
    <w:basedOn w:val="a0"/>
    <w:link w:val="ad"/>
    <w:uiPriority w:val="99"/>
    <w:semiHidden/>
    <w:rsid w:val="00BE1F84"/>
    <w:rPr>
      <w:rFonts w:ascii="Segoe UI" w:eastAsia="Times New Roman" w:hAnsi="Segoe UI" w:cs="Segoe UI"/>
      <w:sz w:val="18"/>
      <w:szCs w:val="18"/>
      <w:lang w:eastAsia="ru-RU"/>
    </w:rPr>
  </w:style>
  <w:style w:type="character" w:customStyle="1" w:styleId="af">
    <w:name w:val="Обычный (веб) Знак"/>
    <w:link w:val="af0"/>
    <w:uiPriority w:val="99"/>
    <w:semiHidden/>
    <w:locked/>
    <w:rsid w:val="0091794F"/>
    <w:rPr>
      <w:rFonts w:ascii="Times New Roman" w:eastAsia="Times New Roman" w:hAnsi="Times New Roman" w:cs="Times New Roman"/>
      <w:sz w:val="24"/>
      <w:szCs w:val="24"/>
      <w:lang w:val="x-none" w:eastAsia="x-none"/>
    </w:rPr>
  </w:style>
  <w:style w:type="paragraph" w:styleId="af0">
    <w:name w:val="Normal (Web)"/>
    <w:basedOn w:val="a"/>
    <w:link w:val="af"/>
    <w:uiPriority w:val="99"/>
    <w:semiHidden/>
    <w:unhideWhenUsed/>
    <w:rsid w:val="0091794F"/>
    <w:pPr>
      <w:spacing w:before="100" w:beforeAutospacing="1" w:after="100" w:afterAutospacing="1"/>
    </w:pPr>
    <w:rPr>
      <w:lang w:val="x-none" w:eastAsia="x-none"/>
    </w:rPr>
  </w:style>
  <w:style w:type="paragraph" w:styleId="af1">
    <w:name w:val="footnote text"/>
    <w:aliases w:val=" Знак4 Знак,Знак4 Знак"/>
    <w:basedOn w:val="a"/>
    <w:link w:val="af2"/>
    <w:uiPriority w:val="99"/>
    <w:unhideWhenUsed/>
    <w:rsid w:val="003B5AF4"/>
    <w:rPr>
      <w:sz w:val="20"/>
      <w:szCs w:val="20"/>
    </w:rPr>
  </w:style>
  <w:style w:type="character" w:customStyle="1" w:styleId="af2">
    <w:name w:val="Текст сноски Знак"/>
    <w:aliases w:val=" Знак4 Знак Знак,Знак4 Знак Знак"/>
    <w:basedOn w:val="a0"/>
    <w:link w:val="af1"/>
    <w:uiPriority w:val="99"/>
    <w:rsid w:val="003B5AF4"/>
    <w:rPr>
      <w:rFonts w:ascii="Times New Roman" w:eastAsia="Times New Roman" w:hAnsi="Times New Roman" w:cs="Times New Roman"/>
      <w:sz w:val="20"/>
      <w:szCs w:val="20"/>
      <w:lang w:eastAsia="ru-RU"/>
    </w:rPr>
  </w:style>
  <w:style w:type="character" w:styleId="af3">
    <w:name w:val="footnote reference"/>
    <w:basedOn w:val="a0"/>
    <w:uiPriority w:val="99"/>
    <w:unhideWhenUsed/>
    <w:rsid w:val="003B5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820">
      <w:bodyDiv w:val="1"/>
      <w:marLeft w:val="0"/>
      <w:marRight w:val="0"/>
      <w:marTop w:val="0"/>
      <w:marBottom w:val="0"/>
      <w:divBdr>
        <w:top w:val="none" w:sz="0" w:space="0" w:color="auto"/>
        <w:left w:val="none" w:sz="0" w:space="0" w:color="auto"/>
        <w:bottom w:val="none" w:sz="0" w:space="0" w:color="auto"/>
        <w:right w:val="none" w:sz="0" w:space="0" w:color="auto"/>
      </w:divBdr>
    </w:div>
    <w:div w:id="70204797">
      <w:bodyDiv w:val="1"/>
      <w:marLeft w:val="0"/>
      <w:marRight w:val="0"/>
      <w:marTop w:val="0"/>
      <w:marBottom w:val="0"/>
      <w:divBdr>
        <w:top w:val="none" w:sz="0" w:space="0" w:color="auto"/>
        <w:left w:val="none" w:sz="0" w:space="0" w:color="auto"/>
        <w:bottom w:val="none" w:sz="0" w:space="0" w:color="auto"/>
        <w:right w:val="none" w:sz="0" w:space="0" w:color="auto"/>
      </w:divBdr>
    </w:div>
    <w:div w:id="163208610">
      <w:bodyDiv w:val="1"/>
      <w:marLeft w:val="0"/>
      <w:marRight w:val="0"/>
      <w:marTop w:val="0"/>
      <w:marBottom w:val="0"/>
      <w:divBdr>
        <w:top w:val="none" w:sz="0" w:space="0" w:color="auto"/>
        <w:left w:val="none" w:sz="0" w:space="0" w:color="auto"/>
        <w:bottom w:val="none" w:sz="0" w:space="0" w:color="auto"/>
        <w:right w:val="none" w:sz="0" w:space="0" w:color="auto"/>
      </w:divBdr>
    </w:div>
    <w:div w:id="199055300">
      <w:bodyDiv w:val="1"/>
      <w:marLeft w:val="0"/>
      <w:marRight w:val="0"/>
      <w:marTop w:val="0"/>
      <w:marBottom w:val="0"/>
      <w:divBdr>
        <w:top w:val="none" w:sz="0" w:space="0" w:color="auto"/>
        <w:left w:val="none" w:sz="0" w:space="0" w:color="auto"/>
        <w:bottom w:val="none" w:sz="0" w:space="0" w:color="auto"/>
        <w:right w:val="none" w:sz="0" w:space="0" w:color="auto"/>
      </w:divBdr>
    </w:div>
    <w:div w:id="279184969">
      <w:bodyDiv w:val="1"/>
      <w:marLeft w:val="0"/>
      <w:marRight w:val="0"/>
      <w:marTop w:val="0"/>
      <w:marBottom w:val="0"/>
      <w:divBdr>
        <w:top w:val="none" w:sz="0" w:space="0" w:color="auto"/>
        <w:left w:val="none" w:sz="0" w:space="0" w:color="auto"/>
        <w:bottom w:val="none" w:sz="0" w:space="0" w:color="auto"/>
        <w:right w:val="none" w:sz="0" w:space="0" w:color="auto"/>
      </w:divBdr>
    </w:div>
    <w:div w:id="364477565">
      <w:bodyDiv w:val="1"/>
      <w:marLeft w:val="0"/>
      <w:marRight w:val="0"/>
      <w:marTop w:val="0"/>
      <w:marBottom w:val="0"/>
      <w:divBdr>
        <w:top w:val="none" w:sz="0" w:space="0" w:color="auto"/>
        <w:left w:val="none" w:sz="0" w:space="0" w:color="auto"/>
        <w:bottom w:val="none" w:sz="0" w:space="0" w:color="auto"/>
        <w:right w:val="none" w:sz="0" w:space="0" w:color="auto"/>
      </w:divBdr>
    </w:div>
    <w:div w:id="426580030">
      <w:bodyDiv w:val="1"/>
      <w:marLeft w:val="0"/>
      <w:marRight w:val="0"/>
      <w:marTop w:val="0"/>
      <w:marBottom w:val="0"/>
      <w:divBdr>
        <w:top w:val="none" w:sz="0" w:space="0" w:color="auto"/>
        <w:left w:val="none" w:sz="0" w:space="0" w:color="auto"/>
        <w:bottom w:val="none" w:sz="0" w:space="0" w:color="auto"/>
        <w:right w:val="none" w:sz="0" w:space="0" w:color="auto"/>
      </w:divBdr>
    </w:div>
    <w:div w:id="508258675">
      <w:bodyDiv w:val="1"/>
      <w:marLeft w:val="0"/>
      <w:marRight w:val="0"/>
      <w:marTop w:val="0"/>
      <w:marBottom w:val="0"/>
      <w:divBdr>
        <w:top w:val="none" w:sz="0" w:space="0" w:color="auto"/>
        <w:left w:val="none" w:sz="0" w:space="0" w:color="auto"/>
        <w:bottom w:val="none" w:sz="0" w:space="0" w:color="auto"/>
        <w:right w:val="none" w:sz="0" w:space="0" w:color="auto"/>
      </w:divBdr>
    </w:div>
    <w:div w:id="579563047">
      <w:bodyDiv w:val="1"/>
      <w:marLeft w:val="0"/>
      <w:marRight w:val="0"/>
      <w:marTop w:val="0"/>
      <w:marBottom w:val="0"/>
      <w:divBdr>
        <w:top w:val="none" w:sz="0" w:space="0" w:color="auto"/>
        <w:left w:val="none" w:sz="0" w:space="0" w:color="auto"/>
        <w:bottom w:val="none" w:sz="0" w:space="0" w:color="auto"/>
        <w:right w:val="none" w:sz="0" w:space="0" w:color="auto"/>
      </w:divBdr>
    </w:div>
    <w:div w:id="584188655">
      <w:bodyDiv w:val="1"/>
      <w:marLeft w:val="0"/>
      <w:marRight w:val="0"/>
      <w:marTop w:val="0"/>
      <w:marBottom w:val="0"/>
      <w:divBdr>
        <w:top w:val="none" w:sz="0" w:space="0" w:color="auto"/>
        <w:left w:val="none" w:sz="0" w:space="0" w:color="auto"/>
        <w:bottom w:val="none" w:sz="0" w:space="0" w:color="auto"/>
        <w:right w:val="none" w:sz="0" w:space="0" w:color="auto"/>
      </w:divBdr>
    </w:div>
    <w:div w:id="877090324">
      <w:bodyDiv w:val="1"/>
      <w:marLeft w:val="0"/>
      <w:marRight w:val="0"/>
      <w:marTop w:val="0"/>
      <w:marBottom w:val="0"/>
      <w:divBdr>
        <w:top w:val="none" w:sz="0" w:space="0" w:color="auto"/>
        <w:left w:val="none" w:sz="0" w:space="0" w:color="auto"/>
        <w:bottom w:val="none" w:sz="0" w:space="0" w:color="auto"/>
        <w:right w:val="none" w:sz="0" w:space="0" w:color="auto"/>
      </w:divBdr>
    </w:div>
    <w:div w:id="964580888">
      <w:bodyDiv w:val="1"/>
      <w:marLeft w:val="0"/>
      <w:marRight w:val="0"/>
      <w:marTop w:val="0"/>
      <w:marBottom w:val="0"/>
      <w:divBdr>
        <w:top w:val="none" w:sz="0" w:space="0" w:color="auto"/>
        <w:left w:val="none" w:sz="0" w:space="0" w:color="auto"/>
        <w:bottom w:val="none" w:sz="0" w:space="0" w:color="auto"/>
        <w:right w:val="none" w:sz="0" w:space="0" w:color="auto"/>
      </w:divBdr>
    </w:div>
    <w:div w:id="990718940">
      <w:bodyDiv w:val="1"/>
      <w:marLeft w:val="0"/>
      <w:marRight w:val="0"/>
      <w:marTop w:val="0"/>
      <w:marBottom w:val="0"/>
      <w:divBdr>
        <w:top w:val="none" w:sz="0" w:space="0" w:color="auto"/>
        <w:left w:val="none" w:sz="0" w:space="0" w:color="auto"/>
        <w:bottom w:val="none" w:sz="0" w:space="0" w:color="auto"/>
        <w:right w:val="none" w:sz="0" w:space="0" w:color="auto"/>
      </w:divBdr>
    </w:div>
    <w:div w:id="1026562826">
      <w:bodyDiv w:val="1"/>
      <w:marLeft w:val="0"/>
      <w:marRight w:val="0"/>
      <w:marTop w:val="0"/>
      <w:marBottom w:val="0"/>
      <w:divBdr>
        <w:top w:val="none" w:sz="0" w:space="0" w:color="auto"/>
        <w:left w:val="none" w:sz="0" w:space="0" w:color="auto"/>
        <w:bottom w:val="none" w:sz="0" w:space="0" w:color="auto"/>
        <w:right w:val="none" w:sz="0" w:space="0" w:color="auto"/>
      </w:divBdr>
    </w:div>
    <w:div w:id="1193609259">
      <w:bodyDiv w:val="1"/>
      <w:marLeft w:val="0"/>
      <w:marRight w:val="0"/>
      <w:marTop w:val="0"/>
      <w:marBottom w:val="0"/>
      <w:divBdr>
        <w:top w:val="none" w:sz="0" w:space="0" w:color="auto"/>
        <w:left w:val="none" w:sz="0" w:space="0" w:color="auto"/>
        <w:bottom w:val="none" w:sz="0" w:space="0" w:color="auto"/>
        <w:right w:val="none" w:sz="0" w:space="0" w:color="auto"/>
      </w:divBdr>
    </w:div>
    <w:div w:id="1281572984">
      <w:bodyDiv w:val="1"/>
      <w:marLeft w:val="0"/>
      <w:marRight w:val="0"/>
      <w:marTop w:val="0"/>
      <w:marBottom w:val="0"/>
      <w:divBdr>
        <w:top w:val="none" w:sz="0" w:space="0" w:color="auto"/>
        <w:left w:val="none" w:sz="0" w:space="0" w:color="auto"/>
        <w:bottom w:val="none" w:sz="0" w:space="0" w:color="auto"/>
        <w:right w:val="none" w:sz="0" w:space="0" w:color="auto"/>
      </w:divBdr>
    </w:div>
    <w:div w:id="1626694805">
      <w:bodyDiv w:val="1"/>
      <w:marLeft w:val="0"/>
      <w:marRight w:val="0"/>
      <w:marTop w:val="0"/>
      <w:marBottom w:val="0"/>
      <w:divBdr>
        <w:top w:val="none" w:sz="0" w:space="0" w:color="auto"/>
        <w:left w:val="none" w:sz="0" w:space="0" w:color="auto"/>
        <w:bottom w:val="none" w:sz="0" w:space="0" w:color="auto"/>
        <w:right w:val="none" w:sz="0" w:space="0" w:color="auto"/>
      </w:divBdr>
    </w:div>
    <w:div w:id="1754357939">
      <w:bodyDiv w:val="1"/>
      <w:marLeft w:val="0"/>
      <w:marRight w:val="0"/>
      <w:marTop w:val="0"/>
      <w:marBottom w:val="0"/>
      <w:divBdr>
        <w:top w:val="none" w:sz="0" w:space="0" w:color="auto"/>
        <w:left w:val="none" w:sz="0" w:space="0" w:color="auto"/>
        <w:bottom w:val="none" w:sz="0" w:space="0" w:color="auto"/>
        <w:right w:val="none" w:sz="0" w:space="0" w:color="auto"/>
      </w:divBdr>
    </w:div>
    <w:div w:id="1793010562">
      <w:bodyDiv w:val="1"/>
      <w:marLeft w:val="0"/>
      <w:marRight w:val="0"/>
      <w:marTop w:val="0"/>
      <w:marBottom w:val="0"/>
      <w:divBdr>
        <w:top w:val="none" w:sz="0" w:space="0" w:color="auto"/>
        <w:left w:val="none" w:sz="0" w:space="0" w:color="auto"/>
        <w:bottom w:val="none" w:sz="0" w:space="0" w:color="auto"/>
        <w:right w:val="none" w:sz="0" w:space="0" w:color="auto"/>
      </w:divBdr>
    </w:div>
    <w:div w:id="202482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Алыбин Юрий Александрович</dc:creator>
  <cp:keywords/>
  <dc:description/>
  <cp:lastModifiedBy>Алыбин Юрий Александрович</cp:lastModifiedBy>
  <cp:revision>2</cp:revision>
  <cp:lastPrinted>2020-11-06T09:17:00Z</cp:lastPrinted>
  <dcterms:created xsi:type="dcterms:W3CDTF">2023-01-19T12:51:00Z</dcterms:created>
  <dcterms:modified xsi:type="dcterms:W3CDTF">2023-01-19T12:51:00Z</dcterms:modified>
</cp:coreProperties>
</file>