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26" w:rsidRDefault="000B6653">
      <w:pPr>
        <w:spacing w:after="309"/>
        <w:ind w:left="2731" w:right="2710" w:hanging="10"/>
        <w:jc w:val="center"/>
      </w:pPr>
      <w:r>
        <w:rPr>
          <w:b/>
        </w:rPr>
        <w:t>Р Е Ш Е Н</w:t>
      </w:r>
      <w:r>
        <w:rPr>
          <w:b/>
        </w:rPr>
        <w:t xml:space="preserve"> И Е № 064/06/42-507/2022 о признании жалобы необоснованной</w:t>
      </w:r>
    </w:p>
    <w:p w:rsidR="00405926" w:rsidRDefault="000B6653">
      <w:pPr>
        <w:tabs>
          <w:tab w:val="center" w:pos="1821"/>
          <w:tab w:val="center" w:pos="6864"/>
        </w:tabs>
        <w:spacing w:after="3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28 июня 2022 года          </w:t>
      </w:r>
      <w:r>
        <w:tab/>
        <w:t xml:space="preserve">                                     г. Саратов</w:t>
      </w:r>
    </w:p>
    <w:p w:rsidR="00405926" w:rsidRDefault="000B6653">
      <w:r>
        <w:t>Комиссия Управления Федеральной антимонопольной службы по Саратовской области по контролю в сфере закупок на поставки т</w:t>
      </w:r>
      <w:r>
        <w:t xml:space="preserve">оваров, выполнение работ, оказание услуг для государственных и муниципальных нужд (далее – Комиссия) в составе: </w:t>
      </w:r>
    </w:p>
    <w:p w:rsidR="00405926" w:rsidRDefault="000B6653">
      <w:pPr>
        <w:spacing w:after="310"/>
        <w:ind w:firstLine="0"/>
      </w:pPr>
      <w:r>
        <w:t>рассмотрев жалобу ООО «</w:t>
      </w:r>
      <w:proofErr w:type="spellStart"/>
      <w:r>
        <w:t>Консалтекс</w:t>
      </w:r>
      <w:proofErr w:type="spellEnd"/>
      <w:r>
        <w:t>» на действия Единой комиссии Уполномоченного учреждения ГКУ СО «Государственное агентство по централизации закупок» при</w:t>
      </w:r>
      <w:r>
        <w:t xml:space="preserve"> проведении электронного аукциона № 0860200000822003884 «Поставка ноутбуков для оснащения Центров образования естественно-научной и технологической направленностей «Точка роста»,</w:t>
      </w:r>
    </w:p>
    <w:p w:rsidR="00405926" w:rsidRDefault="000B6653">
      <w:pPr>
        <w:spacing w:after="309"/>
        <w:ind w:left="2731" w:right="2713" w:hanging="10"/>
        <w:jc w:val="center"/>
      </w:pPr>
      <w:r>
        <w:rPr>
          <w:b/>
        </w:rPr>
        <w:t>УСТАНОВИЛА:</w:t>
      </w:r>
    </w:p>
    <w:p w:rsidR="00405926" w:rsidRDefault="000B6653">
      <w:pPr>
        <w:tabs>
          <w:tab w:val="center" w:pos="3927"/>
          <w:tab w:val="right" w:pos="1022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22.06.2022 в Саратовское УФАС России</w:t>
      </w:r>
      <w:r>
        <w:tab/>
        <w:t xml:space="preserve"> поступила жалоба</w:t>
      </w:r>
    </w:p>
    <w:p w:rsidR="00405926" w:rsidRDefault="000B6653">
      <w:pPr>
        <w:ind w:firstLine="0"/>
      </w:pPr>
      <w:r>
        <w:t>ООО «</w:t>
      </w:r>
      <w:proofErr w:type="spellStart"/>
      <w:r>
        <w:t>Конс</w:t>
      </w:r>
      <w:r>
        <w:t>алтекс</w:t>
      </w:r>
      <w:proofErr w:type="spellEnd"/>
      <w:r>
        <w:t xml:space="preserve">» на действия Единой комиссии Уполномоченного учреждения ГКУ СО «Государственное агентство по централизации закупок» при проведении электронного аукциона № 0860200000822003884 «Поставка ноутбуков для оснащения Центров образования естественно-научной </w:t>
      </w:r>
      <w:r>
        <w:t>и технологической направленностей «Точка роста» (далее – Аукцион).</w:t>
      </w:r>
    </w:p>
    <w:p w:rsidR="00405926" w:rsidRDefault="000B6653">
      <w:r>
        <w:t>Из жалобы Заявителя следует, что Единая комиссия неправомерно отклонила заявку Заявителя, что противоречит требованиям Федерального закона от 05.04.2013 №44-ФЗ «О контрактной системе в сфер</w:t>
      </w:r>
      <w:r>
        <w:t>е закупок товаров, работ, услуг для обеспечения государственных и муниципальных нужд» (далее - Закон о контрактной системе).</w:t>
      </w:r>
    </w:p>
    <w:p w:rsidR="00405926" w:rsidRDefault="000B6653">
      <w:r>
        <w:t>Представитель Заявителя не присутствовал на рассмотрении жалобы, извещен надлежащим образом.</w:t>
      </w:r>
    </w:p>
    <w:p w:rsidR="00405926" w:rsidRDefault="000B6653">
      <w:r>
        <w:t>Представители Заказчика и Уполномоченн</w:t>
      </w:r>
      <w:r>
        <w:t xml:space="preserve">ого учреждения, присутствующие при рассмотрении жалобы считают жалобу необоснованной и не подлежащей рассмотрению. </w:t>
      </w:r>
    </w:p>
    <w:p w:rsidR="00405926" w:rsidRDefault="000B6653">
      <w:pPr>
        <w:spacing w:after="3" w:line="240" w:lineRule="auto"/>
        <w:ind w:left="-1"/>
        <w:jc w:val="left"/>
      </w:pPr>
      <w:r>
        <w:rPr>
          <w:i/>
        </w:rPr>
        <w:t xml:space="preserve">Изучив представленные сведения и документы, проведя внеплановую проверку, Комиссия пришла к следующим выводам: </w:t>
      </w:r>
    </w:p>
    <w:p w:rsidR="00405926" w:rsidRDefault="000B6653">
      <w:r>
        <w:t>03.06.2022 в Единой информационной системе в сфере закупок было размещено извещение об осуществлении закупки.</w:t>
      </w:r>
    </w:p>
    <w:p w:rsidR="00405926" w:rsidRDefault="000B6653">
      <w:proofErr w:type="gramStart"/>
      <w:r>
        <w:t>Заказчиком  является</w:t>
      </w:r>
      <w:proofErr w:type="gramEnd"/>
      <w:r>
        <w:t xml:space="preserve"> Комитет по образованию администрации </w:t>
      </w:r>
      <w:proofErr w:type="spellStart"/>
      <w:r>
        <w:t>Энгельсского</w:t>
      </w:r>
      <w:proofErr w:type="spellEnd"/>
      <w:r>
        <w:t xml:space="preserve"> МР.</w:t>
      </w:r>
    </w:p>
    <w:p w:rsidR="00405926" w:rsidRDefault="000B6653">
      <w:pPr>
        <w:spacing w:after="1" w:line="258" w:lineRule="auto"/>
        <w:ind w:left="22" w:right="82" w:hanging="10"/>
        <w:jc w:val="center"/>
      </w:pPr>
      <w:r>
        <w:lastRenderedPageBreak/>
        <w:t xml:space="preserve">Начальная (максимальная) цена контракта составляет 760 000,00 рублей. </w:t>
      </w:r>
    </w:p>
    <w:p w:rsidR="00405926" w:rsidRDefault="000B6653">
      <w:r>
        <w:t>Согласно протоколу подведения итогов определения поставщика (подрядчика, исполнителя) от 20.06.2022 №ИЭА1 заявка с идентификационным номером 4 отклонена: «Непредставление информации и документов, предусмотренных п. 5 ч. 1 ст. 43 Закона № 44 ФЗ. В соответст</w:t>
      </w:r>
      <w:r>
        <w:t>вии с п. 5 ч. 1 ст. 43, п. 5 ч. 12 ст. 48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п. 3</w:t>
      </w:r>
    </w:p>
    <w:p w:rsidR="00405926" w:rsidRDefault="000B6653">
      <w:pPr>
        <w:ind w:firstLine="0"/>
      </w:pPr>
      <w:r>
        <w:t>Приложения №3 к извещению об осуществлении закупк</w:t>
      </w:r>
      <w:r>
        <w:t>и «ТРЕБОВАНИЯ К</w:t>
      </w:r>
    </w:p>
    <w:p w:rsidR="00405926" w:rsidRDefault="000B6653">
      <w:pPr>
        <w:ind w:firstLine="0"/>
      </w:pPr>
      <w:r>
        <w:t>СОДЕРЖАНИЮ, СОСТАВУ ЗАЯВКИ НА УЧАСТИЕ В ЗАКУПКЕ И</w:t>
      </w:r>
    </w:p>
    <w:p w:rsidR="00405926" w:rsidRDefault="000B6653">
      <w:pPr>
        <w:ind w:firstLine="0"/>
      </w:pPr>
      <w:r>
        <w:t xml:space="preserve">ИНСТРУКЦИЯ ПО ЕЁ ЗАПОЛНЕНИЮ», пунктами 2 и 2(2) Постановления Правительства РФ от 16.11.2015 № 1236 «Об установлении запрета на допуск программного обеспечения, происходящего из иностранных </w:t>
      </w:r>
      <w:r>
        <w:t>государств, для целей осуществления закупок для обеспечения государственных и муниципальных нужд»: участник закупки в составе заявки не предоставил декларацию, содержащую информацию о наличии в реестре российского программного обеспечения сведений о програ</w:t>
      </w:r>
      <w:r>
        <w:t xml:space="preserve">ммах для электронных вычислительных машин и баз данных, предлагаемых участником закупки; участник закупки в составе заявки не предоставил декларацию, содержащую информацию о наличии в реестре евразийского программного обеспечения сведения о программах для </w:t>
      </w:r>
      <w:r>
        <w:t>электронных вычислительных машин и баз данных, предлагаемых участником закупки».</w:t>
      </w:r>
    </w:p>
    <w:p w:rsidR="00405926" w:rsidRDefault="000B6653">
      <w:r>
        <w:t>Согласно подпункту 5 части 1 статьи 42 Закона при осуществлении закупки путем проведения открытых конкурентных способов заказчик формирует с использованием единой информационн</w:t>
      </w:r>
      <w:r>
        <w:t>ой системы, подписывает усиленной электронной подписью лица, имеющего право действовать от имени заказчика, и размещает в единой | информационной системе извещение об осуществлении закупки, содержащее наименование объекта закупки, информация (при наличии),</w:t>
      </w:r>
      <w:r>
        <w:t xml:space="preserve"> предусмотренная |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Закона, указание (в случае осуществления закупки лекарственных средств) на ме</w:t>
      </w:r>
      <w:r>
        <w:t xml:space="preserve">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t>группировочные</w:t>
      </w:r>
      <w:proofErr w:type="spellEnd"/>
      <w:r>
        <w:t xml:space="preserve"> наименования.</w:t>
      </w:r>
    </w:p>
    <w:p w:rsidR="00405926" w:rsidRDefault="000B6653">
      <w:r>
        <w:t>Согласно пункту 1 части 2 статьи 42 Закона извещение об осуществлении закупки, если иное не предусмотрено Законом,</w:t>
      </w:r>
      <w:r>
        <w:t xml:space="preserve"> должно содержать описание объекта закупки в соответствии со статьей 33 Закона.</w:t>
      </w:r>
    </w:p>
    <w:p w:rsidR="00405926" w:rsidRDefault="000B6653">
      <w:r>
        <w:lastRenderedPageBreak/>
        <w:t xml:space="preserve">В соответствии с пунктами 1, 2 части 1 статьи 33 Закона заказчик в случаях, предусмотренных настоящим Законом, при описании объекта закупки должен руководствоваться следующими </w:t>
      </w:r>
      <w:r>
        <w:t>правилами:</w:t>
      </w:r>
    </w:p>
    <w:p w:rsidR="00405926" w:rsidRDefault="000B6653">
      <w:pPr>
        <w:numPr>
          <w:ilvl w:val="0"/>
          <w:numId w:val="2"/>
        </w:numPr>
      </w:pPr>
      <w:r>
        <w:t xml:space="preserve">в описании объекта закупки указываются функциональные, технические </w:t>
      </w:r>
      <w:proofErr w:type="spellStart"/>
      <w:r>
        <w:t>икачественные</w:t>
      </w:r>
      <w:proofErr w:type="spellEnd"/>
      <w:r>
        <w:t xml:space="preserve">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</w:t>
      </w:r>
      <w:r>
        <w:t>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</w:t>
      </w:r>
      <w:r>
        <w:t xml:space="preserve">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</w:t>
      </w:r>
      <w:r>
        <w:t>ются другие товарные знаки, и необходимости обеспечения взаимодействия таких товаров с товарами, используемыми заказчиком, либо при условии закупок к запасных частей и расходных материалов к машинам и оборудованию, используемым заказчиком, в соответствии с</w:t>
      </w:r>
      <w:r>
        <w:t xml:space="preserve"> технической документацией на указанные машины и оборудование;</w:t>
      </w:r>
    </w:p>
    <w:p w:rsidR="00405926" w:rsidRDefault="000B6653">
      <w:pPr>
        <w:numPr>
          <w:ilvl w:val="0"/>
          <w:numId w:val="2"/>
        </w:numPr>
      </w:pPr>
      <w:r>
        <w:t xml:space="preserve">использование при составлении описания объекта закупки </w:t>
      </w:r>
      <w:proofErr w:type="spellStart"/>
      <w:r>
        <w:t>показателей,требований</w:t>
      </w:r>
      <w:proofErr w:type="spellEnd"/>
      <w:r>
        <w:t>, условных обозначений и терминологии, касающихся технических характеристик, функциональных характеристик (потребите</w:t>
      </w:r>
      <w:r>
        <w:t>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</w:t>
      </w:r>
      <w:r>
        <w:t>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</w:t>
      </w:r>
      <w:r>
        <w:t xml:space="preserve">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</w:t>
      </w:r>
      <w:r>
        <w:t>азатели, требования, условные обозначения 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405926" w:rsidRDefault="000B6653">
      <w:r>
        <w:t>Согласно части 2 статьи 33 Закона описание объекта за</w:t>
      </w:r>
      <w:r>
        <w:t xml:space="preserve">купки в соответствии с требованиями, указанными в части 1 настоящей статьи, </w:t>
      </w:r>
      <w:r>
        <w:lastRenderedPageBreak/>
        <w:t>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</w:t>
      </w:r>
      <w:r>
        <w:t>инимальные значения таких показателей и (или) значения показателей, которые не могут изменяться.</w:t>
      </w:r>
    </w:p>
    <w:p w:rsidR="00405926" w:rsidRDefault="000B6653">
      <w:r>
        <w:t>В соответствии с пунктом 15 части 1 статьи 42 Закона при осуществлении закупки путем проведения открытых конкурентных способов заказчик формирует с использован</w:t>
      </w:r>
      <w:r>
        <w:t xml:space="preserve">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следующую информацию об условиях, </w:t>
      </w:r>
      <w:r>
        <w:t>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</w:t>
      </w:r>
      <w:r>
        <w:t>лены в соответствии со статьей 14 Закона.</w:t>
      </w:r>
    </w:p>
    <w:p w:rsidR="00405926" w:rsidRDefault="000B6653">
      <w:r>
        <w:t>В соответствии с частью 3 статьи 14 Закона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</w:t>
      </w:r>
      <w:r>
        <w:t>ономики,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</w:t>
      </w:r>
      <w:r>
        <w:t>транными лицами, и ограничения допуска указанных товаров, работ, услуг,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 (далее - минимальная доля</w:t>
      </w:r>
      <w:r>
        <w:t xml:space="preserve"> закупок), и перечень таких товаров, для целей осуществления закупок. В случае, если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в соответствии с настояще</w:t>
      </w:r>
      <w:r>
        <w:t xml:space="preserve">й частью запрета или 1 ограничений,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ограничений, если такими актами не установлено иное. В таких нормативных </w:t>
      </w:r>
      <w:r>
        <w:t>правовых актах устанавливается порядок подготовки обоснования невозможности соблюдения указанных запрета или ограничений, а также требования к его содержанию.</w:t>
      </w:r>
    </w:p>
    <w:p w:rsidR="00405926" w:rsidRDefault="000B6653">
      <w:r>
        <w:t>Определение страны происхождения указанных товаров осуществляется в соответствии с законодательст</w:t>
      </w:r>
      <w:r>
        <w:t>вом Российской Федерации.</w:t>
      </w:r>
    </w:p>
    <w:p w:rsidR="00405926" w:rsidRDefault="000B6653">
      <w:r>
        <w:lastRenderedPageBreak/>
        <w:t>Постановлением Правительства РФ от 16.11.2015 № 1236 устанавливается запрет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</w:t>
      </w:r>
      <w:r>
        <w:t>ых нужд (далее - Постановление № 1236).</w:t>
      </w:r>
    </w:p>
    <w:p w:rsidR="00405926" w:rsidRDefault="000B6653">
      <w:r>
        <w:t>В соответствии с пунктом 2 Постановления №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</w:t>
      </w:r>
      <w:r>
        <w:t xml:space="preserve">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</w:t>
      </w:r>
      <w:r>
        <w:t xml:space="preserve">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</w:t>
      </w:r>
      <w:r>
        <w:t>него), для целей осуществления закупок для обеспечения государственных и муниципальных нужд, за исключением следующих случаев, поименованных в указанной норме.</w:t>
      </w:r>
    </w:p>
    <w:p w:rsidR="00405926" w:rsidRDefault="000B6653">
      <w:r>
        <w:t>В пункте 2(1) Постановления № 1236 обозначено понятие программного обеспечения для целей примене</w:t>
      </w:r>
      <w:r>
        <w:t>ния пункта 2 Постановления № 1236.</w:t>
      </w:r>
    </w:p>
    <w:p w:rsidR="00405926" w:rsidRDefault="000B6653">
      <w:r>
        <w:t>В соответствии с подпунктом «б» пункта 2(1) Постановления № 1236 для целей применения пункта 2 постановления под программным обеспечением понимают программное обеспечение и (или) права на него вследствие выполнения следую</w:t>
      </w:r>
      <w:r>
        <w:t>щих контрактных обязательств:</w:t>
      </w:r>
    </w:p>
    <w:p w:rsidR="00405926" w:rsidRDefault="000B6653">
      <w:r>
        <w:t xml:space="preserve">а) поставка на материальном носителе и (или) в электронном виде по каналам связи, а также предоставление в аренду или в пользование программного обеспечения посредством использования каналов связи и внешней </w:t>
      </w:r>
      <w:proofErr w:type="spellStart"/>
      <w:r>
        <w:t>информационнотехнол</w:t>
      </w:r>
      <w:r>
        <w:t>огической</w:t>
      </w:r>
      <w:proofErr w:type="spellEnd"/>
      <w:r>
        <w:t xml:space="preserve"> и программно-аппаратной инфраструктуры, обеспечивающей сбор, обработку и хранение данных (услуги облачных вычислений);</w:t>
      </w:r>
    </w:p>
    <w:p w:rsidR="00405926" w:rsidRDefault="000B6653">
      <w:r>
        <w:t>б) поставка, техническое обслуживание персональных электронных вычислительных машин, устройств терминального доступа, серверног</w:t>
      </w:r>
      <w:r>
        <w:t>о оборудования и иных средств вычислительной техники, на которых программное обеспечение подлежит установке в результате исполнения контракта;</w:t>
      </w:r>
    </w:p>
    <w:p w:rsidR="00405926" w:rsidRDefault="000B6653">
      <w:r>
        <w:t>в) выполнение работ, оказание услуг, связанных с разработкой, модификацией, модернизацией программного обеспечени</w:t>
      </w:r>
      <w:r>
        <w:t xml:space="preserve">я, в том числе в составе существующих автоматизированных систем, если такие работы или услуги сопряжены с предоставлением заказчику прав на использование </w:t>
      </w:r>
      <w:r>
        <w:lastRenderedPageBreak/>
        <w:t>программного обеспечения или расширением ранее предоставленного объема прав;</w:t>
      </w:r>
    </w:p>
    <w:p w:rsidR="00405926" w:rsidRDefault="000B6653">
      <w:r>
        <w:t>г) оказание услуг, связанных с сопровождением, технической поддержкой, обновлением программного обеспечения, в том числе в составе существующих автоматизированных систем, если такие услуги сопряжены с предоставлением заказчику прав на использование програм</w:t>
      </w:r>
      <w:r>
        <w:t>много обеспечения или расширением ранее предоставленного объема прав.</w:t>
      </w:r>
    </w:p>
    <w:p w:rsidR="00405926" w:rsidRDefault="000B6653">
      <w:r>
        <w:t>Объектом рассматриваемой закупки является товар «Ноутбук», применяется позиция Каталога товаров, работ, услуг 26.20.11.110-00000165 (обновлено 18.04.2022, обязательное применение с 16.05</w:t>
      </w:r>
      <w:r>
        <w:t>.2022 - Бессрочно), которая в числе прочих содержит следующую характеристику «Предустановленная операционная система» с возможностью выбора одного из вариантов значения характеристики «Да» или «Нет». Из чего следует, что на основании актуального КТРУ выдел</w:t>
      </w:r>
      <w:r>
        <w:t xml:space="preserve">ять операционную систему как отдельный товар нет необходимости, поскольку каталог рассматривает ее в качестве характеристики товара «ноутбук». </w:t>
      </w:r>
    </w:p>
    <w:p w:rsidR="00405926" w:rsidRDefault="000B6653">
      <w:r>
        <w:t>Следовательно, при закупке товара «Ноутбук» Заказчик не мог иным образом выразить свою потребность в такой харак</w:t>
      </w:r>
      <w:r>
        <w:t>теристике товара, как наличие предустановленной операционной системы, не мог расширить описание характеристики или использовать иные показатели и значения характеристики в силу прямого указания закона.</w:t>
      </w:r>
    </w:p>
    <w:p w:rsidR="00405926" w:rsidRDefault="000B6653">
      <w:r>
        <w:t>Ноутбук является персональной электронной вычислительн</w:t>
      </w:r>
      <w:r>
        <w:t>ой машиной, характеристики приобретаемого товара отвечают признакам, установленным пунктом 2(1), в частности подпункту «б» Постановления № 1236, соответственно, запрет по Постановлению № 1236 подлежит применению. Таким образом, в рамках рассматриваемого ау</w:t>
      </w:r>
      <w:r>
        <w:t>кциона в том числе подлежит закупке программное обеспечение, отвечающее характеристикам, указанным в пунктах 2 и 2(1) Постановления № 1236.</w:t>
      </w:r>
    </w:p>
    <w:p w:rsidR="00405926" w:rsidRDefault="000B6653">
      <w:r>
        <w:t xml:space="preserve">Статья 43 Закона о контрактной системе в пункте 5 части 1 предусматривает, что заявка участника должна содержать </w:t>
      </w:r>
      <w:r>
        <w:rPr>
          <w:b/>
        </w:rPr>
        <w:t>инф</w:t>
      </w:r>
      <w:r>
        <w:rPr>
          <w:b/>
        </w:rPr>
        <w:t>ормацию и документы</w:t>
      </w:r>
      <w:r>
        <w:t>, предусмотренные нормативными правовыми актами, принятыми в соответствии с частями 3 и 4 статьи 14 Федерального закона (в случае, если в извещении об осуществлении закупки, документации о закупке (если настоящим Федеральным законом пред</w:t>
      </w:r>
      <w:r>
        <w:t>усмотрена документация о закупке) установлены предусмотренные указанной статьей запреты, ограничения, условия допуска). В случае отсутствия таких информации и документов в заявке на участие в закупке такая заявка приравнивается к заявке, в которой содержит</w:t>
      </w:r>
      <w:r>
        <w:t xml:space="preserve">ся предложение о поставке товаров, происходящих из иностранного государства или группы </w:t>
      </w:r>
      <w:r>
        <w:lastRenderedPageBreak/>
        <w:t>иностранных государств, работ, услуг, соответственно выполняемых, оказываемых иностранными лицами.</w:t>
      </w:r>
    </w:p>
    <w:p w:rsidR="00405926" w:rsidRDefault="000B6653">
      <w:r>
        <w:t>Пункт 3 табличной части Приложения № 3 к Извещению об осуществлении за</w:t>
      </w:r>
      <w:r>
        <w:t xml:space="preserve">купки «Требования к содержанию, составу заявки на участие в закупке и инструкция по ее заполнению» содержит следующее требование: </w:t>
      </w:r>
    </w:p>
    <w:tbl>
      <w:tblPr>
        <w:tblStyle w:val="TableGrid"/>
        <w:tblW w:w="9344" w:type="dxa"/>
        <w:tblInd w:w="-90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4006"/>
        <w:gridCol w:w="4942"/>
      </w:tblGrid>
      <w:tr w:rsidR="00405926">
        <w:trPr>
          <w:trHeight w:val="19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t>Информация и документы, предусмотренные нормативными правовыми актами, принятыми в соответствии с частями 3 и 4 статьи 14</w:t>
            </w:r>
            <w:r>
              <w:t xml:space="preserve"> Закона о контрактной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Требуется.</w:t>
            </w:r>
          </w:p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t xml:space="preserve">Декларация (форма предоставления произвольная), содержащая информацию о наличии в реестре российского программного обеспечения сведений о программах </w:t>
            </w:r>
          </w:p>
        </w:tc>
      </w:tr>
      <w:tr w:rsidR="00405926">
        <w:trPr>
          <w:trHeight w:val="38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6" w:rsidRDefault="004059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t>системе (1</w:t>
            </w:r>
            <w:proofErr w:type="gramStart"/>
            <w:r>
              <w:t>) ,</w:t>
            </w:r>
            <w:proofErr w:type="gramEnd"/>
            <w:r>
              <w:t xml:space="preserve"> (5), (6):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6" w:rsidRDefault="000B6653">
            <w:pPr>
              <w:spacing w:after="0" w:line="238" w:lineRule="auto"/>
              <w:ind w:left="0" w:firstLine="0"/>
              <w:jc w:val="left"/>
            </w:pPr>
            <w:r>
              <w:t xml:space="preserve">для электронных вычислительных машин и баз данных, предлагаемых участником закупки, или </w:t>
            </w:r>
          </w:p>
          <w:p w:rsidR="00405926" w:rsidRDefault="000B6653">
            <w:pPr>
              <w:spacing w:after="0" w:line="259" w:lineRule="auto"/>
              <w:ind w:left="0" w:firstLine="0"/>
              <w:jc w:val="left"/>
            </w:pPr>
            <w:r>
              <w:t>Декларация (форма предоставления произвольная), содержащая информацию о наличии в реестре евразийского программного обеспечения сведений о программах для электронных в</w:t>
            </w:r>
            <w:r>
              <w:t>ычислительных машин и баз данных, предлагаемых участником закупки.</w:t>
            </w:r>
          </w:p>
        </w:tc>
      </w:tr>
    </w:tbl>
    <w:p w:rsidR="00405926" w:rsidRDefault="000B6653">
      <w:pPr>
        <w:spacing w:after="166"/>
        <w:ind w:left="156" w:firstLine="0"/>
      </w:pPr>
      <w:r>
        <w:t xml:space="preserve">Сноски (1), (5) имеют следующее содержание: </w:t>
      </w:r>
    </w:p>
    <w:p w:rsidR="00405926" w:rsidRDefault="000B6653">
      <w:pPr>
        <w:ind w:firstLine="852"/>
      </w:pPr>
      <w:r>
        <w:t>(1) Информация и документы, предусмотренные пунктами 1.2, 2.3, 3 настоящего Приложения направляются (предоставляются) участником закупки в сост</w:t>
      </w:r>
      <w:r>
        <w:t>аве заявки на участие в закупке, если требование о наличии таких информации и документов установлено в настоящем Приложении.</w:t>
      </w:r>
    </w:p>
    <w:p w:rsidR="00405926" w:rsidRDefault="000B6653">
      <w:pPr>
        <w:ind w:firstLine="852"/>
      </w:pPr>
      <w:r>
        <w:t xml:space="preserve">(5) </w:t>
      </w:r>
      <w:proofErr w:type="gramStart"/>
      <w:r>
        <w:t>В</w:t>
      </w:r>
      <w:proofErr w:type="gramEnd"/>
      <w:r>
        <w:t xml:space="preserve"> случае отсутствия таких информации и документов в заявке на участие в закупке такая заявка приравнивается к заявке, в которой</w:t>
      </w:r>
      <w:r>
        <w:t xml:space="preserve"> содержится предложение о поставке товаров, происходящих из иностранного государства или группы иностранных государств (если предоставление участником закупки информации и документов, предусмотренных нормативными правовыми актами, принятыми в соответствии </w:t>
      </w:r>
      <w:r>
        <w:t>с частями 3 и 4 статьи 14 Закона о контрактной системе, установлено в настоящем Приложении).</w:t>
      </w:r>
    </w:p>
    <w:p w:rsidR="00405926" w:rsidRDefault="000B6653">
      <w:pPr>
        <w:ind w:firstLine="852"/>
      </w:pPr>
      <w:r>
        <w:t xml:space="preserve">В соответствии с Письмом Минфина России от 10.06.2020 № 24-03-08/50149 положения Закона № 44-ФЗ и Постановления № 1236 не устанавливают документ, представляемый в </w:t>
      </w:r>
      <w:r>
        <w:t xml:space="preserve">качестве декларации о </w:t>
      </w:r>
      <w:r>
        <w:lastRenderedPageBreak/>
        <w:t xml:space="preserve">наличии в реестре российского программного обеспечения сведений о программах для электронных вычислительных машин и баз данных. Таким образом, заказчик допускает участника закупки, </w:t>
      </w:r>
      <w:r>
        <w:rPr>
          <w:b/>
        </w:rPr>
        <w:t>продекларировавшего в составе своей заявки</w:t>
      </w:r>
      <w:r>
        <w:t xml:space="preserve"> о наличии </w:t>
      </w:r>
      <w:r>
        <w:t xml:space="preserve">в реестре российского программного обеспечения сведений о программах для электронных вычислительных машин и баз данных, в случае если заказчиком был установлен запрет на допуск товаров в соответствии с Постановлением № 1236. </w:t>
      </w:r>
    </w:p>
    <w:p w:rsidR="00405926" w:rsidRDefault="000B6653">
      <w:pPr>
        <w:ind w:firstLine="852"/>
      </w:pPr>
      <w:r>
        <w:t>В заявке ООО «</w:t>
      </w:r>
      <w:proofErr w:type="spellStart"/>
      <w:r>
        <w:t>Консалтекс</w:t>
      </w:r>
      <w:proofErr w:type="spellEnd"/>
      <w:r>
        <w:t>» (иде</w:t>
      </w:r>
      <w:r>
        <w:t>нтификационный номер заявки 4) не предоставило декларацию, содержащую информацию о наличии в реестре российского программного обеспечения сведений о программах для электронных вычислительных машин и баз данных, предлагаемых участником закупки; участник зак</w:t>
      </w:r>
      <w:r>
        <w:t xml:space="preserve">упки в составе заявки не предоставил декларацию, содержащую информацию о наличии в реестре евразийского программного обеспечения сведения о программах для электронных вычислительных машин и баз данных, предлагаемых участником закупки. </w:t>
      </w:r>
    </w:p>
    <w:p w:rsidR="00405926" w:rsidRDefault="000B6653">
      <w:r>
        <w:t xml:space="preserve">Согласно </w:t>
      </w:r>
      <w:proofErr w:type="spellStart"/>
      <w:r>
        <w:t>п.п</w:t>
      </w:r>
      <w:proofErr w:type="spellEnd"/>
      <w:r>
        <w:t>. а п. 1</w:t>
      </w:r>
      <w:r>
        <w:t xml:space="preserve"> ч. 5 ст.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</w:t>
      </w:r>
      <w:r>
        <w:t>вещении об осуществлении закупки члены комиссии по осуществлению закупок: рассматривают заявки на участие в закупке, информацию и документы, направленные оператором электронной площадки в соответствии с пунктом 4 части 4 настоящей статьи, и принимают решен</w:t>
      </w:r>
      <w:r>
        <w:t>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настоящего Федерального закона.</w:t>
      </w:r>
    </w:p>
    <w:p w:rsidR="00405926" w:rsidRDefault="000B6653">
      <w:r>
        <w:t>Пунктом 5 ч.12 ст.4</w:t>
      </w:r>
      <w:r>
        <w:t xml:space="preserve">8 Закона о контрактной системе установлено, что при рассмотрении вторых частей заявок на участие в закупке соответствующая заявка подлежит отклонению в случаях непредставления информации и документов, предусмотренных пунктом 5 части 1 статьи 43 настоящего </w:t>
      </w:r>
      <w:r>
        <w:t>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</w:t>
      </w:r>
      <w:r>
        <w:t>ии об осуществлении закупки запрета допуска товаров, происходящих из иностранного государства или группы иностранных государств).</w:t>
      </w:r>
    </w:p>
    <w:p w:rsidR="00405926" w:rsidRDefault="000B6653">
      <w:r>
        <w:t>Учитывая вышеизложенное, у Единой Комиссии отсутствовали основания для допуска заявки участника с идентификационным номером 4.</w:t>
      </w:r>
    </w:p>
    <w:p w:rsidR="00405926" w:rsidRDefault="000B6653">
      <w:pPr>
        <w:ind w:left="724" w:firstLine="0"/>
      </w:pPr>
      <w:r>
        <w:t>Доводы Заявителя не находит своего подтверждения.</w:t>
      </w:r>
    </w:p>
    <w:p w:rsidR="00405926" w:rsidRDefault="000B6653">
      <w:r>
        <w:lastRenderedPageBreak/>
        <w:t>Учитывая вышеизложенное и на основании, ст. 99, ст. 106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Комиссия Саратовского УФАС России,</w:t>
      </w:r>
    </w:p>
    <w:p w:rsidR="00405926" w:rsidRDefault="000B6653">
      <w:pPr>
        <w:spacing w:after="309"/>
        <w:ind w:left="2731" w:right="2003" w:hanging="10"/>
        <w:jc w:val="center"/>
      </w:pPr>
      <w:r>
        <w:rPr>
          <w:b/>
        </w:rPr>
        <w:t>Р Е Ш И</w:t>
      </w:r>
      <w:r>
        <w:rPr>
          <w:b/>
        </w:rPr>
        <w:t xml:space="preserve"> Л А:</w:t>
      </w:r>
    </w:p>
    <w:p w:rsidR="00405926" w:rsidRDefault="000B6653">
      <w:pPr>
        <w:spacing w:after="310"/>
        <w:ind w:firstLine="568"/>
      </w:pPr>
      <w:r>
        <w:t xml:space="preserve"> Признать жалобу ООО «</w:t>
      </w:r>
      <w:proofErr w:type="spellStart"/>
      <w:r>
        <w:t>Консалтекс</w:t>
      </w:r>
      <w:proofErr w:type="spellEnd"/>
      <w:r>
        <w:t xml:space="preserve">» на действия Единой комиссии Уполномоченного учреждения ГКУ СО «Государственное агентство по централизации закупок» при проведении электронного аукциона № 0860200000822003884 «Поставка ноутбуков для оснащения Центров </w:t>
      </w:r>
      <w:r>
        <w:t xml:space="preserve">образования естественно-научной и технологической направленностей «Точка роста» необоснованной. </w:t>
      </w:r>
    </w:p>
    <w:p w:rsidR="00405926" w:rsidRDefault="000B6653">
      <w:pPr>
        <w:spacing w:after="433" w:line="240" w:lineRule="auto"/>
        <w:ind w:left="-1" w:firstLine="850"/>
        <w:jc w:val="left"/>
      </w:pPr>
      <w:r>
        <w:rPr>
          <w:i/>
        </w:rPr>
        <w:t>Настоящее решение может быть обжаловано в судебном порядке в течение трех месяцев с даты его принятия.</w:t>
      </w:r>
    </w:p>
    <w:p w:rsidR="00405926" w:rsidRDefault="00405926" w:rsidP="000B6653">
      <w:pPr>
        <w:spacing w:after="80" w:line="259" w:lineRule="auto"/>
        <w:ind w:left="-309" w:hanging="10"/>
        <w:jc w:val="left"/>
      </w:pPr>
      <w:bookmarkStart w:id="0" w:name="_GoBack"/>
      <w:bookmarkEnd w:id="0"/>
    </w:p>
    <w:sectPr w:rsidR="00405926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6653">
      <w:pPr>
        <w:spacing w:after="0" w:line="240" w:lineRule="auto"/>
      </w:pPr>
      <w:r>
        <w:separator/>
      </w:r>
    </w:p>
  </w:endnote>
  <w:endnote w:type="continuationSeparator" w:id="0">
    <w:p w:rsidR="00000000" w:rsidRDefault="000B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26" w:rsidRDefault="0040592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26" w:rsidRDefault="0040592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26" w:rsidRDefault="0040592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6653">
      <w:pPr>
        <w:spacing w:after="0" w:line="240" w:lineRule="auto"/>
      </w:pPr>
      <w:r>
        <w:separator/>
      </w:r>
    </w:p>
  </w:footnote>
  <w:footnote w:type="continuationSeparator" w:id="0">
    <w:p w:rsidR="00000000" w:rsidRDefault="000B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CA0"/>
    <w:multiLevelType w:val="hybridMultilevel"/>
    <w:tmpl w:val="4E0695B4"/>
    <w:lvl w:ilvl="0" w:tplc="A6F69B60">
      <w:start w:val="1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0D6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8FA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0C8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A3E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E679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690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EF5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2AE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F0B99"/>
    <w:multiLevelType w:val="hybridMultilevel"/>
    <w:tmpl w:val="4BB23DE0"/>
    <w:lvl w:ilvl="0" w:tplc="2C72780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6832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48B8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08A28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C76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43AF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8FE4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2F7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CC35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26"/>
    <w:rsid w:val="000B6653"/>
    <w:rsid w:val="004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D852-31B0-4E84-9614-CF8BBF39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5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0B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65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Нуфер Ю.А.</dc:creator>
  <cp:keywords/>
  <cp:lastModifiedBy>Нуфер Ю.А.</cp:lastModifiedBy>
  <cp:revision>2</cp:revision>
  <dcterms:created xsi:type="dcterms:W3CDTF">2022-07-01T16:16:00Z</dcterms:created>
  <dcterms:modified xsi:type="dcterms:W3CDTF">2022-07-01T16:16:00Z</dcterms:modified>
</cp:coreProperties>
</file>